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attribution</w:t>
            </w:r>
          </w:p>
        </w:tc>
      </w:tr>
      <w:tr>
        <w:tc>
          <w:tcPr>
            <w:tcW w:type="dxa" w:w="5400"/>
          </w:tcPr>
          <w:p>
            <w:pPr>
              <w:pStyle w:val="ListBullet"/>
              <w:spacing w:after="0" w:line="276" w:lineRule="auto"/>
            </w:pPr>
            <w:r/>
            <w:r>
              <w:rPr>
                <w:rFonts w:ascii="EB Garamond" w:hAnsi="EB Garamond"/>
                <w:sz w:val="21"/>
              </w:rPr>
              <w:t>analytics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attribution • 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