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CRM</w:t>
            </w:r>
          </w:p>
        </w:tc>
        <w:tc>
          <w:tcPr>
            <w:tcW w:type="dxa" w:w="5400"/>
          </w:tcPr>
          <w:p>
            <w:pPr>
              <w:pStyle w:val="ListBullet"/>
              <w:spacing w:after="0" w:line="276" w:lineRule="auto"/>
            </w:pPr>
            <w:r/>
            <w:r>
              <w:rPr>
                <w:rFonts w:ascii="EB Garamond" w:hAnsi="EB Garamond"/>
                <w:sz w:val="21"/>
              </w:rPr>
              <w:t>email</w:t>
            </w:r>
          </w:p>
        </w:tc>
      </w:tr>
      <w:tr>
        <w:tc>
          <w:tcPr>
            <w:tcW w:type="dxa" w:w="5400"/>
          </w:tcPr>
          <w:p>
            <w:pPr>
              <w:pStyle w:val="ListBullet"/>
              <w:spacing w:after="0" w:line="276" w:lineRule="auto"/>
            </w:pPr>
            <w:r/>
            <w:r>
              <w:rPr>
                <w:rFonts w:ascii="EB Garamond" w:hAnsi="EB Garamond"/>
                <w:sz w:val="21"/>
              </w:rPr>
              <w:t>reporting</w:t>
            </w:r>
          </w:p>
        </w:tc>
        <w:tc>
          <w:tcPr>
            <w:tcW w:type="dxa" w:w="5400"/>
          </w:tcPr>
          <w:p>
            <w:pPr>
              <w:pStyle w:val="ListBullet"/>
              <w:spacing w:after="0" w:line="276" w:lineRule="auto"/>
            </w:pPr>
            <w:r/>
            <w:r>
              <w:rPr>
                <w:rFonts w:ascii="EB Garamond" w:hAnsi="EB Garamond"/>
                <w:sz w:val="21"/>
              </w:rPr>
              <w:t>analytics</w:t>
            </w:r>
          </w:p>
        </w:tc>
      </w:tr>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CRM • email • reporting • analytics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