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Scaled monthly marketing volume from approximately $200,000 to $800,000 while improving ROAS from 1.5 to 3.5 through bidding, audience, budget, campaign, and conversion optimization.</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 | 1-800 Contacts —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 | GRIP6 —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 | TravelPass Group / Reservation Counter —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 | Intercon Inc.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Expanded the business by adding multiple B2C e, sales, operations, finance, IT, product, and e-commerce functions.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 | The Infinite Agency —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 | LifeSpan Fitness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Created business goals, annual projections, and KPIs with senior management and reported data from Magento, Google Analytics, ACCTivate, QuickBooks, and advertising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 | Bowen Law Professional Group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Used market research and business planning to help establish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Managed online marketing efforts using multiple SEO/SEM tools.</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