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 | 1-800 Contacts —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Helped facilitate the transition of four to five agency relationships in-house, evaluating agency cost structures, prioritization, automation approaches, and the impact of newer Google machine-learning capabilities on legacy rule-based systems.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 | GRIP6 —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 | TravelPass Group / Reservation Counter —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 | Intercon Inc.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 | The Infinite Agency —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 | LifeSpan Fitness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 | Bowen Law Professional Group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Designed and introduced new marketing concepts using graphic-design and animation software.</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