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CRM</w:t>
            </w:r>
          </w:p>
        </w:tc>
        <w:tc>
          <w:tcPr>
            <w:tcW w:type="dxa" w:w="5400"/>
          </w:tcPr>
          <w:p>
            <w:pPr>
              <w:pStyle w:val="ListBullet"/>
              <w:spacing w:after="0" w:line="276" w:lineRule="auto"/>
            </w:pPr>
            <w:r/>
            <w:r>
              <w:rPr>
                <w:rFonts w:ascii="EB Garamond" w:hAnsi="EB Garamond"/>
                <w:sz w:val="21"/>
              </w:rPr>
              <w:t>AI</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CRM • AI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