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e-commerce</w:t>
            </w:r>
          </w:p>
        </w:tc>
        <w:tc>
          <w:tcPr>
            <w:tcW w:type="dxa" w:w="5400"/>
          </w:tcPr>
          <w:p>
            <w:pPr>
              <w:pStyle w:val="ListBullet"/>
              <w:spacing w:after="0" w:line="276" w:lineRule="auto"/>
            </w:pPr>
            <w:r/>
            <w:r>
              <w:rPr>
                <w:rFonts w:ascii="EB Garamond" w:hAnsi="EB Garamond"/>
                <w:sz w:val="21"/>
              </w:rPr>
              <w:t>analytics</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e-commerce • analytics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