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CRM</w:t>
            </w:r>
          </w:p>
        </w:tc>
      </w:tr>
      <w:tr>
        <w:tc>
          <w:tcPr>
            <w:tcW w:type="dxa" w:w="5400"/>
          </w:tcPr>
          <w:p>
            <w:pPr>
              <w:pStyle w:val="ListBullet"/>
              <w:spacing w:after="0" w:line="276" w:lineRule="auto"/>
            </w:pPr>
            <w:r/>
            <w:r>
              <w:rPr>
                <w:rFonts w:ascii="EB Garamond" w:hAnsi="EB Garamond"/>
                <w:sz w:val="21"/>
              </w:rPr>
              <w:t>analytics</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CRM • analytics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