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pPr>
              <w:pStyle w:val="ListBullet"/>
              <w:spacing w:after="0" w:line="276" w:lineRule="auto"/>
            </w:pPr>
            <w:r/>
            <w:r>
              <w:rPr>
                <w:rFonts w:ascii="EB Garamond" w:hAnsi="EB Garamond"/>
                <w:sz w:val="21"/>
              </w:rPr>
              <w:t>Amazon</w:t>
            </w:r>
          </w:p>
        </w:tc>
      </w:tr>
      <w:tr>
        <w:tc>
          <w:tcPr>
            <w:tcW w:type="dxa" w:w="5400"/>
          </w:tcPr>
          <w:p>
            <w:pPr>
              <w:pStyle w:val="ListBullet"/>
              <w:spacing w:after="0" w:line="276" w:lineRule="auto"/>
            </w:pPr>
            <w:r/>
            <w:r>
              <w:rPr>
                <w:rFonts w:ascii="EB Garamond" w:hAnsi="EB Garamond"/>
                <w:sz w:val="21"/>
              </w:rPr>
              <w:t>e-commerce</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 • Amazon • e-commerce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