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search</w:t>
            </w:r>
          </w:p>
        </w:tc>
        <w:tc>
          <w:tcPr>
            <w:tcW w:type="dxa" w:w="5400"/>
          </w:tcPr>
          <w:p>
            <w:pPr>
              <w:pStyle w:val="ListBullet"/>
              <w:spacing w:after="0" w:line="276" w:lineRule="auto"/>
            </w:pPr>
            <w:r/>
            <w:r>
              <w:rPr>
                <w:rFonts w:ascii="EB Garamond" w:hAnsi="EB Garamond"/>
                <w:sz w:val="21"/>
              </w:rPr>
              <w:t>Google Ads</w:t>
            </w:r>
          </w:p>
        </w:tc>
      </w:tr>
      <w:tr>
        <w:tc>
          <w:tcPr>
            <w:tcW w:type="dxa" w:w="5400"/>
          </w:tcPr>
          <w:p>
            <w:pPr>
              <w:pStyle w:val="ListBullet"/>
              <w:spacing w:after="0" w:line="276" w:lineRule="auto"/>
            </w:pPr>
            <w:r/>
            <w:r>
              <w:rPr>
                <w:rFonts w:ascii="EB Garamond" w:hAnsi="EB Garamond"/>
                <w:sz w:val="21"/>
              </w:rPr>
              <w:t>Microsoft Ads</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PPC efforts across Google Ads and Microsoft/Bing 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paid search • Google Ads • Microsoft Ads</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