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email</w:t>
            </w:r>
          </w:p>
        </w:tc>
        <w:tc>
          <w:tcPr>
            <w:tcW w:type="dxa" w:w="5400"/>
          </w:tcPr>
          <w:p>
            <w:pPr>
              <w:pStyle w:val="ListBullet"/>
              <w:spacing w:after="0" w:line="276" w:lineRule="auto"/>
            </w:pPr>
            <w:r/>
            <w:r>
              <w:rPr>
                <w:rFonts w:ascii="EB Garamond" w:hAnsi="EB Garamond"/>
                <w:sz w:val="21"/>
              </w:rPr>
              <w:t>e-commerce</w:t>
            </w:r>
          </w:p>
        </w:tc>
      </w:tr>
      <w:tr>
        <w:tc>
          <w:tcPr>
            <w:tcW w:type="dxa" w:w="5400"/>
          </w:tcPr>
          <w:p>
            <w:pPr>
              <w:pStyle w:val="ListBullet"/>
              <w:spacing w:after="0" w:line="276" w:lineRule="auto"/>
            </w:pPr>
            <w:r/>
            <w:r>
              <w:rPr>
                <w:rFonts w:ascii="EB Garamond" w:hAnsi="EB Garamond"/>
                <w:sz w:val="21"/>
              </w:rPr>
              <w:t>social media</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email • e-commerce • social media</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