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marketer with hands-on paid media experience across agency, in-house, B2B, and e-commerce environments, including Meta, LinkedIn, Google Ads, and Microsoft Ads. Managed multichannel budgets of approximately $400,000 per month and increased marketing volume fourfold while improving ROAS from 1.5 to 3.5. Combines audience analysis, funnel experimentation, ad copy, and budget optimization with GA4, Google Tag Manager, and automated cross-channel reporting to guide campaign decisions.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Search Console • Power BI • Meta Ads • Funnel.io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gecko-job:5de35134-f0f0-4f4a-bad1-1b9990d19a85</dc:identifier>
</cp:coreProperties>
</file>