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Consumer Acquisition | Multichannel Content | Campaign Testing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Consumer marketer focused on clear messaging, personalized content and measurable acquisition. Developed content strategies across email, websites and direct mail, and paired audience and funnel analysis with landing-page, conversion and A/B testing. Experience spans B2C growth, marketing databases, multichannel campaign delivery and cross-functional work with web, operations and creative teams. Brings a practical combination of content development, performance measurement and CRM-enabled execution to programs that need to turn engagement into action.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across Google Ads and Microsoft/Bing 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affiliate-program strategy and created search/display ad copy using Adobe design software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Generated and tracked prospective clients and business associates using a marketing-oriented database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introduced new marketing concepts using graphic design and animation software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HubSpot • Salesforce • Google Analytics 4 • Google Tag Manager • Excel • ChatGPT • Claude • Google Ads • Microsoft Ads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gecko-job:scout-2988</dc:identifier>
</cp:coreProperties>
</file>