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Consulting | Local Growth | Performance Analytics</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advisor who turns campaign and financial data into practical growth decisions for business leaders. Supported a company group spanning 32 businesses with an in-house PPC operating system, team training and ERP integration, and advised clients across 75+ Google Ads accounts. Brings experience evaluating agency economics, forecasting investment outcomes, identifying funnel opportunities and coordinating with operations, finance, sales and web teams. Focuses on accountable recommendations that connect marketing spend with business performance.</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Automation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p>
      <w:pPr>
        <w:pStyle w:val="ListBullet"/>
        <w:keepLines/>
        <w:spacing w:before="0" w:after="20" w:line="276" w:lineRule="auto"/>
        <w:ind w:left="259"/>
        <w:jc w:val="left"/>
      </w:pPr>
      <w:r>
        <w:rPr>
          <w:rFonts w:ascii="EB Garamond" w:hAnsi="EB Garamond"/>
          <w:b w:val="0"/>
          <w:sz w:val="22"/>
        </w:rPr>
        <w:t>Helped transition work from four to five agencies to in-house management, evaluating agency fees that combined percentages of total sales with retainers, account prioritization, and excessive automation that reduced channel effectiveness. Assessed inefficient legacy rule-based systems built using the Google Ads API and how newer Google machine-learning capabilities had made those systems outdated</w:t>
      </w:r>
    </w:p>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Analyzed Google Ads audience performance to identify audiences and strategies to test and apply across other platforms</w:t>
      </w:r>
    </w:p>
    <w:p>
      <w:pPr>
        <w:pStyle w:val="ListBullet"/>
        <w:keepLines/>
        <w:spacing w:before="0" w:after="20" w:line="276" w:lineRule="auto"/>
        <w:ind w:left="259"/>
        <w:jc w:val="left"/>
      </w:pPr>
      <w:r>
        <w:rPr>
          <w:rFonts w:ascii="EB Garamond" w:hAnsi="EB Garamond"/>
          <w:b w:val="0"/>
          <w:sz w:val="22"/>
        </w:rPr>
        <w:t>Conducted customer lifetime value (LTV) analysis, affiliate commission analysis and discount negotiation, and AI-assisted promotion performance analysis using Namogoo</w:t>
      </w:r>
    </w:p>
    <w:p>
      <w:pPr>
        <w:pStyle w:val="ListBullet"/>
        <w:keepLines/>
        <w:spacing w:before="0" w:after="20" w:line="276" w:lineRule="auto"/>
        <w:ind w:left="259"/>
        <w:jc w:val="left"/>
      </w:pPr>
      <w:r>
        <w:rPr>
          <w:rFonts w:ascii="EB Garamond" w:hAnsi="EB Garamond"/>
          <w:b w:val="0"/>
          <w:sz w:val="22"/>
        </w:rPr>
        <w:t>Built complex Tableau dashboards for paid search, including Google Ads and Bing Ads, and helped migrate existing Power BI dashboards and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Managed PPC efforts across Google Ads and Microsoft/Bing Ads</w:t>
      </w:r>
    </w:p>
    <w:p>
      <w:pPr>
        <w:pStyle w:val="ListBullet"/>
        <w:keepLines/>
        <w:spacing w:before="0" w:after="20" w:line="276" w:lineRule="auto"/>
        <w:ind w:left="259"/>
        <w:jc w:val="left"/>
      </w:pPr>
      <w:r>
        <w:rPr>
          <w:rFonts w:ascii="EB Garamond" w:hAnsi="EB Garamond"/>
          <w:b w:val="0"/>
          <w:sz w:val="22"/>
        </w:rPr>
        <w:t>Automated keyword creation and permutations for thousands of ad groups using VBA in Excel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p>
      <w:pPr>
        <w:pStyle w:val="ListBullet"/>
        <w:keepLines/>
        <w:spacing w:before="0" w:after="20" w:line="276" w:lineRule="auto"/>
        <w:ind w:left="259"/>
        <w:jc w:val="left"/>
      </w:pPr>
      <w:r>
        <w:rPr>
          <w:rFonts w:ascii="EB Garamond" w:hAnsi="EB Garamond"/>
          <w:b w:val="0"/>
          <w:sz w:val="22"/>
        </w:rPr>
        <w:t>Developed a repeatable Google Ads account-management system that maintained consistent service quality across clients regardless of spend; the system was adopted across the agency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pStyle w:val="ListBullet"/>
        <w:keepLines/>
        <w:spacing w:before="0" w:after="20" w:line="276" w:lineRule="auto"/>
        <w:ind w:left="259"/>
        <w:jc w:val="left"/>
      </w:pPr>
      <w:r>
        <w:rPr>
          <w:rFonts w:ascii="EB Garamond" w:hAnsi="EB Garamond"/>
          <w:b w:val="0"/>
          <w:sz w:val="22"/>
        </w:rPr>
        <w:t>Routinely conducted cost/benefit evaluations of marketing initiatives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Looker Studio • Tableau • Power BI • Excel • Google Ads • Microsoft Ads • Google Tag Manager • Salesforce • HubSpot • Meta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gecko-job:scout-2989</dc:identifier>
</cp:coreProperties>
</file>