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Performance Marketing | Audience &amp; Creative Strategy | Campaign Scaling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connecting audience research and creative decisions with campaign economics. Managed paid channels including Meta, Instagram and TikTok, partnered with creative and web teams, and scaled monthly marketing volume fourfold while improving ROAS from 1.5 to 3.5. Developed marketing concepts using graphic design and animation, created search and display ad copy, and tested messaging and conversion paths. Agency experience adds client strategy, competitive research and repeatable processes for turning performance findings into clear next actions.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Google Analytics 4 • Google Tag Manager • Looker Studio • Excel • Tableau • Shopify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gecko-job:scout-3015</dc:identifier>
</cp:coreProperties>
</file>