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Paid media and e-commerce leader with 14+ years of experience across agency and in-house environments. Led an eight-person e-commerce team, managed 75+ agency accounts, and built repeatable account-management systems adopted across an agency. Managed paid search and social platforms across a $400,000 monthly budget and increased marketing volume fourfold while improving ROAS from 1.5 to 3.5. Combines direct client consulting, cross-functional leadership, and performance analysis to guide budget allocation, improve campaign results, and maintain consistent service quality.</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Team Development</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p>
      <w:pPr>
        <w:pStyle w:val="ListBullet"/>
        <w:keepLines/>
        <w:spacing w:before="0" w:after="20" w:line="276" w:lineRule="auto"/>
        <w:ind w:left="259"/>
        <w:jc w:val="left"/>
      </w:pPr>
      <w:r>
        <w:rPr>
          <w:rFonts w:ascii="EB Garamond" w:hAnsi="EB Garamond"/>
          <w:b w:val="0"/>
          <w:sz w:val="22"/>
        </w:rPr>
        <w:t>Created custom scripts for continuous, automated monitoring of client marketing efforts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Managed 150+ campaigns across Google Ads, Microsoft Ads, Amazon, search, shopping, display, video, remarketing, mobile, social, local, and email with approximately $400K in monthly spend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Led weekly marketing meetings and participated in weekly firm management meetings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Ads API • Google Ads • Microsoft Ads • Google Analytics 4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gecko-job:('url',-'linear-agency.breezy.hr',-'p6ef6bc1c2419-head-of-paid-media',-'')</dc:identifier>
</cp:coreProperties>
</file>