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Paid media leader with experience connecting audience insights, budget decisions, and cross-channel campaign performance. Managed up to $30 million in monthly paid media with a four-person team and coordinated marketing work across business functions. Brings hands-on digital advertising, budget forecasting, KPI reporting, client recommendations, and TV/OTT reach analysis using iSpot, with a practical focus on measurement, delivery, and accountable investment decisions.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Assessed click-to-call systems and used iSpot to analyze TV/OTT reach campaigns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PPC efforts on Google Ads and Bing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robust spreadsheet-based inventory planning methodology used across multiple departments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budget decisions through project-by-project cost/benefit analysis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systems to allow for transparency and collaboration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 scripts for continuous, automated monitoring of client marketing efforts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evaluate account performance and make data-driven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 the web development team and monitored SEO/SEM using multiple software tools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Set up human assisted automation with JavaScript on certain campaigns based on promotions and business goals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market research and business planning to help establish tax and finance departments that together contributed more than 25% of firm revenue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Routinely conducted cost/benefit evaluations of marketing initiatives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Generated and tracked prospective clients and business associates using a marketing-oriented database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Analytics 4 • Google Tag Manager • Amazon Vendor Central • Google Ads • Microsoft Ads • Google Search Console • Looker Studio • Tableau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gecko-job:scout-2980</dc:identifier>
</cp:coreProperties>
</file>