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Performance Marketing Leadership | DTC Acquisition | Full-Funnel Analytics</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leader with hands-on Google and Meta experience, large-budget acquisition and strong funnel analysis. Managed high-volume paid media operations, scaled monthly marketing volume fourfold while improving ROAS from 1.5 to 3.5, and led an eight-person e-commerce team. Evaluated incremental CPA, lifetime value and conversion paths, supported by automated reporting and CRM integration work. Earlier law-firm marketing experience adds context in content strategy, market research and business planning, while keeping growth decisions focused on measurable business outcomes.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Operational Efficiency</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Helped transition work from four to five agencies to in-house management, evaluating agency fees that combined percentages of total sales with retainers, account prioritization, and excessive automation that reduced channel effectiveness. Assessed inefficient legacy rule-based systems built using the Google Ads API and how newer Google machine-learning capabilities had made those systems outdated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Lines/>
        <w:spacing w:before="0" w:after="20" w:line="276" w:lineRule="auto"/>
        <w:ind w:left="259"/>
        <w:jc w:val="left"/>
      </w:pPr>
      <w:r>
        <w:rPr>
          <w:rFonts w:ascii="EB Garamond" w:hAnsi="EB Garamond"/>
          <w:b w:val="0"/>
          <w:sz w:val="22"/>
        </w:rPr>
        <w:t>Conducted competitor research using Python web scraping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all marketing platforms: Google Ads, Bing Ads, Amazon, Facebook, Instagram, and TikTok with a 400k/month budget</w:t>
      </w:r>
    </w:p>
    <w:p>
      <w:pPr>
        <w:pStyle w:val="ListBullet"/>
        <w:keepLines/>
        <w:spacing w:before="0" w:after="20" w:line="276" w:lineRule="auto"/>
        <w:ind w:left="259"/>
        <w:jc w:val="left"/>
      </w:pPr>
      <w:r>
        <w:rPr>
          <w:rFonts w:ascii="EB Garamond" w:hAnsi="EB Garamond"/>
          <w:b w:val="0"/>
          <w:sz w:val="22"/>
        </w:rPr>
        <w:t>Configured GA4 and custom Google Tag Manager measurement/reporting</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keepLines/>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keepLines/>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Lines/>
        <w:spacing w:before="0" w:after="20" w:line="276" w:lineRule="auto"/>
        <w:ind w:left="259"/>
        <w:jc w:val="left"/>
      </w:pPr>
      <w:r>
        <w:rPr>
          <w:rFonts w:ascii="EB Garamond" w:hAnsi="EB Garamond"/>
          <w:b w:val="0"/>
          <w:sz w:val="22"/>
        </w:rPr>
        <w:t>Directed keyword strategy, bid experiments, landing-page optimization, ad copy, audience analysis, CRO, attribution, and A/B and multivariate testing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Meta Ads • Microsoft Ads • Google Analytics 4 • Google Tag Manager • Looker Studio • Tableau • Excel • HubSpot • Salesforce • Python • SQL</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gecko-job:scout-3058</dc:identifier>
</cp:coreProperties>
</file>