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search professional with agency and in-house experience managing Google Ads and Microsoft Ads campaigns for lead generation and e-commerce growth. Managed 75+ client accounts with more than $476,000 in combined monthly spend and improved ROAS from 1.5 to 3.5 while scaling monthly marketing volume fourfold. Combines hands-on keyword research, ad copy, bidding, and campaign experimentation with Google Analytics, advanced Excel, attribution, and customer lifetime value analysis. Partners directly with clients and cross-functional teams to guide budgets and improve acquisition efficiency, supported by practical AI and reporting automation experience.</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150+ campaigns across Google Ads, Microsoft Ads, Amazon, search, shopping, display, video, remarketing, mobile, social, local, and email with approximately $400K in monthly spend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business goals, yearly projections, and KPI's with senior management and reported large quantities of data from Magento, Google Analytics, ACCTivate, and QuickBooks</w:t>
      </w:r>
    </w:p>
    <w:p>
      <w:pPr>
        <w:pStyle w:val="ListBullet"/>
        <w:keepLines/>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Excel • Google Analytics 4 • Google Tag Manager • Google Search Console • Google Ads Editor • Bing Ads Editor • Google Ads API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gecko-job:0ff8aaeb-a07a-40d6-b0b4-e5ff5025a592</dc:identifier>
</cp:coreProperties>
</file>