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B2B Marketing Strategy | Audience Personalization | Commercial Analytics</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 digital marketer experienced in aligning audience strategy, content and performance analysis with business priorities. Directed marketing and e-commerce execution alongside sales, product and operations, and advised agency clients on goals, targeting, messaging and budget allocation. Developed personalized content across email, mail, blogs and websites, supported by keyword, audience and competitive research. Brings funnel testing, financial analysis and clear reporting to evaluating growth opportunities and making practical recommendations for coordinated marketing investment.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p>
      <w:pPr>
        <w:pStyle w:val="ListBullet"/>
        <w:keepLines/>
        <w:spacing w:before="0" w:after="20" w:line="276" w:lineRule="auto"/>
        <w:ind w:left="259"/>
        <w:jc w:val="left"/>
      </w:pPr>
      <w:r>
        <w:rPr>
          <w:rFonts w:ascii="EB Garamond" w:hAnsi="EB Garamond"/>
          <w:b w:val="0"/>
          <w:sz w:val="22"/>
        </w:rPr>
        <w:t>Developed five-year projections using predictive statistical models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PPC efforts across Google Ads and Microsoft/Bing Ads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Developed e-comm specific products with our manufacturers and developed better supply chain processes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Generated and tracked prospective clients and business associates using a marketing-oriented database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Google Analytics 4 • Looker Studio • Tableau • Excel • Google Ads • Python • SQL • ChatGPT</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gecko-job:scout-3029</dc:identifier>
</cp:coreProperties>
</file>