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Growth-oriented paid-media leader experienced in scaling investment while improving returns. Managed 75+ Google Ads accounts while advising clients on channel allocation, campaign structure, and growth priorities. Partnered with web development and content teams on custom landing pages and Performance Max campaign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custom Google Tag Manager measurement/reporting.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keyword creation and permutations for thousands of ad groups using VBA in Excel.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daily financial analysis to identify niches and product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Advised clients directly on business goals and how to allocate marketing funds across website development, SEO, email, paid search, display, mobile, remarketing, YouTube, and social media.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custom scripts for continuous monitoring of client marketing efforts.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Implemented human-assisted campaign automation with JavaScript based on promotions and business goals.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the firm's overall marketing plan and new strategies in coordination with firm management.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Routinely conducted cost/benefit evaluations of marketing initiatives.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online marketing efforts using multiple SEO/SEM tools.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Microsoft Ads • Meta Ads • Google Ads Editor • Google Ads API • Google Analytics 4 • Google Tag Manager • Google Search Console • Bing Ads Editor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gecko-job:generic-2</dc:identifier>
</cp:coreProperties>
</file>