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E-commerce growth marketer who combines budget discipline with hands-on work on the shopping experience. Partnered with web development and content teams on custom landing pages and Performance Max campaign content.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spacing w:before="0" w:after="20" w:line="276" w:lineRule="auto"/>
        <w:ind w:left="259"/>
        <w:jc w:val="left"/>
      </w:pPr>
      <w:r>
        <w:rPr>
          <w:rFonts w:ascii="EB Garamond" w:hAnsi="EB Garamond"/>
          <w:b w:val="0"/>
          <w:sz w:val="22"/>
        </w:rPr>
        <w:t>Expanded their business by adding a new B2C element (multiple e-comm platforms) while not encroaching upon our 650+ retailers (B2B)</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Vortex UTV - American Fork, UT</w:t>
            </w:r>
          </w:p>
        </w:tc>
        <w:tc>
          <w:tcPr>
            <w:tcW w:type="dxa" w:w="1872"/>
            <w:tcMar>
              <w:top w:w="0" w:type="dxa"/>
              <w:left w:w="0" w:type="dxa"/>
              <w:bottom w:w="0" w:type="dxa"/>
              <w:right w:w="0" w:type="dxa"/>
            </w:tcMar>
          </w:tcPr>
          <w:p>
            <w:pPr>
              <w:keepNext/>
              <w:spacing w:before="0" w:after="0"/>
              <w:jc w:val="right"/>
            </w:pPr>
            <w:r>
              <w:rPr>
                <w:sz w:val="21"/>
              </w:rPr>
              <w:t>Jan 2024–Present</w:t>
            </w:r>
          </w:p>
        </w:tc>
      </w:tr>
    </w:tbl>
    <w:p>
      <w:pPr>
        <w:pStyle w:val="ListBullet"/>
        <w:keepLines/>
        <w:spacing w:before="0" w:after="20" w:line="276" w:lineRule="auto"/>
        <w:ind w:left="259"/>
        <w:jc w:val="left"/>
      </w:pPr>
      <w:r>
        <w:rPr>
          <w:rFonts w:ascii="EB Garamond" w:hAnsi="EB Garamond"/>
          <w:b w:val="0"/>
          <w:sz w:val="22"/>
        </w:rPr>
        <w:t>Improved technical SEO through canonical URLs, pagination validation, redirects, XML sitemaps, product schema, and index controls.</w:t>
      </w:r>
    </w:p>
    <w:p>
      <w:pPr>
        <w:pStyle w:val="ListBullet"/>
        <w:keepLines/>
        <w:spacing w:before="0" w:after="20" w:line="276" w:lineRule="auto"/>
        <w:ind w:left="259"/>
        <w:jc w:val="left"/>
      </w:pPr>
      <w:r>
        <w:rPr>
          <w:rFonts w:ascii="EB Garamond" w:hAnsi="EB Garamond"/>
          <w:b w:val="0"/>
          <w:sz w:val="22"/>
        </w:rPr>
        <w:t>Built a Google Merchant Center feed and product structured-data layer from a shared offer model to align variant identifiers, pricing, availability, and product information across advertising and storefront outputs.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2024</w:t>
            </w:r>
          </w:p>
        </w:tc>
      </w:tr>
    </w:tbl>
    <w:p>
      <w:pPr>
        <w:pStyle w:val="ListBullet"/>
        <w:keepLines/>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Helped transition work from four to five agencies to in-house management, evaluating agency fees that combined percentages of total sales with retainers, account prioritization, and excessive automation that reduced channel effectiveness. Assessed inefficient legacy rule-based systems built using the Google Ads API and how newer Google machine-learning capabilities had made those systems outdated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keepLines/>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Lines/>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Lines/>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Lines/>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Managed all paid search campaigns, outreach, lead generation, and customer acquisition for a large E-Commerce company in the United States, Canada, and the UK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pStyle w:val="ListBullet"/>
        <w:keepLines/>
        <w:spacing w:before="0" w:after="20" w:line="276" w:lineRule="auto"/>
        <w:ind w:left="259"/>
        <w:jc w:val="left"/>
      </w:pPr>
      <w:r>
        <w:rPr>
          <w:rFonts w:ascii="EB Garamond" w:hAnsi="EB Garamond"/>
          <w:b w:val="0"/>
          <w:sz w:val="22"/>
        </w:rPr>
        <w:t>Managed all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Tag Manager • Google Search Console • Power BI • Google Ads • Microsoft Ads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gecko-job:scout-2866</dc:identifier>
</cp:coreProperties>
</file>