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B2B marketing and e-commerce leader with experience navigating growth across sales, operations, technology, and retail partnerships. Scaled monthly marketing volume from approximately $200K to $800K while improving ROAS from 1.5 to 3.5. Partnered with web development and content teams on custom landing pages and Performance Max campaign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large AdWords, Bing Ads, Gemini, and Amazon Marketing Services accounts consisting of more than 150 campaigns with a $400,000 budget resulting in more than $9,000,000 in revenue (35% of total revenue)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Vortex UTV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customer-account workflows for registration, authentication, password recovery, address management, and order-history access through Shopify APIs.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Google Merchant Center feed and product structured-data layer from a shared offer model to align variant identifiers, pricing, availability, and product information across advertising and storefront outputs.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transition work from four to five agencies to in-house management, evaluating agency fees that combined percentages of total sales with retainers, account prioritization, and excessive automation that reduced channel effectiveness. Assessed inefficient legacy rule-based systems built using the Google Ads API and how newer Google machine-learning capabilities had made those systems outdated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paid search campaigns, outreach, lead generation, and customer acquisition for a large E-Commerce company in the United States, Canada, and the UK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evaluate account performance and make data-driven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market research and business planning to help establish tax and finance departments that together contributed more than 25% of firm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Analytics 4 • Google Tag Manager • Google Search Console • Power BI • Funnel.io • Google Ads • Microsoft Ads • Looker Studio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gecko-job:scout-2868</dc:identifier>
</cp:coreProperties>
</file>