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directing multichannel campaigns, managing budgets, developing teams, and using audience research and performance analysis to guide investment. Increased monthly marketing volume from approximately $200,000 to $800,000 while improving ROAS from 1.5 to 3.5. Combines paid search and social advertising expertise with content strategy, customer acquisition, agency coordination, and cross-functional execution.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Managed Google Ads, Microsoft/Bing Ads, Amazon, Meta/Facebook, Instagram, and TikTok across an approximately $400,000 monthly advertising budget</w:t>
      </w:r>
    </w:p>
    <w:p>
      <w:pPr>
        <w:pStyle w:val="ListBullet"/>
        <w:keepLines/>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p>
      <w:pPr>
        <w:pStyle w:val="ListBullet"/>
        <w:keepLines/>
        <w:spacing w:before="0" w:after="20" w:line="276" w:lineRule="auto"/>
        <w:ind w:left="259"/>
        <w:jc w:val="left"/>
      </w:pPr>
      <w:r>
        <w:rPr>
          <w:rFonts w:ascii="EB Garamond" w:hAnsi="EB Garamond"/>
          <w:b w:val="0"/>
          <w:sz w:val="22"/>
        </w:rPr>
        <w:t>Conducted keyword, audience, and competitive research to develop targeting, messaging,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pStyle w:val="ListBullet"/>
        <w:keepLines/>
        <w:spacing w:before="0" w:after="20" w:line="276" w:lineRule="auto"/>
        <w:ind w:left="259"/>
        <w:jc w:val="left"/>
      </w:pPr>
      <w:r>
        <w:rPr>
          <w:rFonts w:ascii="EB Garamond" w:hAnsi="EB Garamond"/>
          <w:b w:val="0"/>
          <w:sz w:val="22"/>
        </w:rPr>
        <w:t>Led weekly marketing meetings and participated in weekly firm management meetings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gecko-job:scout-2858</dc:identifier>
</cp:coreProperties>
</file>