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Helped modernize a B2B distributor and add B2C e-commerce channels while protecting relationships with 650+ retail partners.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Built a Google Merchant Center feed and product structured-data layer from a shared offer model to align variant identifiers, pricing, availability, and product information across advertising and storefront outputs.</w:t>
      </w:r>
    </w:p>
    <w:p>
      <w:pPr>
        <w:pStyle w:val="ListBullet"/>
        <w:keepLines/>
        <w:spacing w:before="0" w:after="20" w:line="276" w:lineRule="auto"/>
        <w:ind w:left="259"/>
        <w:jc w:val="left"/>
      </w:pPr>
      <w:r>
        <w:rPr>
          <w:rFonts w:ascii="EB Garamond" w:hAnsi="EB Garamond"/>
          <w:b w:val="0"/>
          <w:sz w:val="22"/>
        </w:rPr>
        <w:t>Created customer-account workflows for registration, authentication, password recovery, address management, and order-history access through Shopify APIs.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Analyzed maximum CPC versus smart bidding, brand CPC optimization, brand and non-brand target CPA, incremental CPA during scale-ups and scale-downs, omnichannel brand holdouts, data-driven attribution (DDA), and the Performance Max/Google Shopping mix</w:t>
      </w:r>
    </w:p>
    <w:p>
      <w:pPr>
        <w:pStyle w:val="ListBullet"/>
        <w:keepLines/>
        <w:spacing w:before="0" w:after="20" w:line="276" w:lineRule="auto"/>
        <w:ind w:left="259"/>
        <w:jc w:val="left"/>
      </w:pPr>
      <w:r>
        <w:rPr>
          <w:rFonts w:ascii="EB Garamond" w:hAnsi="EB Garamond"/>
          <w:b w:val="0"/>
          <w:sz w:val="22"/>
        </w:rPr>
        <w:t>Helped transition work from four to five agencies to in-house management, evaluating agency fees that combined percentages of total sales with retainers, account prioritization, and excessive automation that reduced channel effectiveness. Assessed inefficient legacy rule-based systems built using the Google Ads API and how newer Google machine-learning capabilities had made those systems outdated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keepLines/>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keepLines/>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keepLines/>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Built reporting pipelines using Funnel.io to consolidate data sources and presented performance data through Google Data Studio/Looker Studio</w:t>
      </w:r>
    </w:p>
    <w:p>
      <w:pPr>
        <w:pStyle w:val="ListBullet"/>
        <w:keepLines/>
        <w:spacing w:before="0" w:after="20" w:line="276" w:lineRule="auto"/>
        <w:ind w:left="259"/>
        <w:jc w:val="left"/>
      </w:pPr>
      <w:r>
        <w:rPr>
          <w:rFonts w:ascii="EB Garamond" w:hAnsi="EB Garamond"/>
          <w:b w:val="0"/>
          <w:sz w:val="22"/>
        </w:rPr>
        <w:t>Used industry-leading analytical tools to evaluate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Converted all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Analytics 4 • Google Ads • Google Tag Manager • Google Search Console • Looker Studio • Google Ads Editor • Google Ads API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gecko-job:scout-2863</dc:identifier>
</cp:coreProperties>
</file>