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| CLIENT STRATEGY &amp; CAMPAIGN MEASUREMENT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American Fork, UT | (530) 507-8269 | mdavidcall@gmail.com |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across agency client strategy, multi-channel acquisition, ecommerce, and performance measurement. Consulted with clients on business goals, audiences, budget allocation, SEO, website, email, social, and paid media opportunities. Led an eight-person ecommerce team and built reporting that translates campaign data into clear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Integrated Campaigns: </w:t>
      </w:r>
      <w:r>
        <w:rPr>
          <w:rFonts w:ascii="Calibri" w:hAnsi="Calibri"/>
          <w:b w:val="0"/>
          <w:color w:val="262626"/>
          <w:sz w:val="22"/>
        </w:rPr>
        <w:t>Paid search, social, email channel experience, SEO collaboration, lead generation, audience strategy, and website planning.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Sales Partnership: </w:t>
      </w:r>
      <w:r>
        <w:rPr>
          <w:rFonts w:ascii="Calibri" w:hAnsi="Calibri"/>
          <w:b w:val="0"/>
          <w:color w:val="262626"/>
          <w:sz w:val="22"/>
        </w:rPr>
        <w:t>Agency consultation, business-goal discovery, client presentations, cross-functional coordination, and team leadership.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Insights: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KPI reporting, and ROI.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Messaging: </w:t>
      </w:r>
      <w:r>
        <w:rPr>
          <w:rFonts w:ascii="Calibri" w:hAnsi="Calibri"/>
          <w:b w:val="0"/>
          <w:color w:val="262626"/>
          <w:sz w:val="22"/>
        </w:rPr>
        <w:t>Keyword and competitive research, targeting and messaging recommendations, ad copy, landing pages, and A/B and multivariate testing.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Program Delivery: </w:t>
      </w:r>
      <w:r>
        <w:rPr>
          <w:rFonts w:ascii="Calibri" w:hAnsi="Calibri"/>
          <w:b w:val="0"/>
          <w:color w:val="262626"/>
          <w:sz w:val="22"/>
        </w:rPr>
        <w:t>Campaign monitoring, budget allocation, reporting automation, project prioritization, and repeatable account-management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-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complex Tableau dashboards for paid search and helped convert existing Power BI reporting to Tableau.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GRIP6 -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marketing volume from approximately $200,000 to $800,000 while improving ROAS from 1.5 to 3.5.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Microsoft/Bing Ads, Amazon, Meta/Facebook, Instagram, and TikTok across an approximately $400,000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-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Managed all aspects of e-commerce and marketing for a large B2B distributor.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Designed the company's information architecture and ERP-system flow and implemented systems to increase productivity, efficiency, transparency, and collaboration.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Oversaw project management in a fast-changing e-commerce channels while protecting relationships with more than 650 B2B retailers.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-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Advised clients directly on business goals and how to allocate marketing funds across website development, SEO, email, paid search, display, mobile, remarketing, YouTube, and social media.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Used industry-leading analytical tools to study account performance and make data-driven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Set up and managed more than 75 Google Ads/AdWords accounts with more than $276,000 in combined monthly spend.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-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Conducted advanced keyword research, channel analysis, trend monitoring, acquisition analysis, conversion-path and funnel analysis, landing-page optimization, and conversion-rate optimization.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Brigham Young University - Business Management degree - Marketing emphasis, 2008.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 / Google AdWords; Google Analytics; Microsoft Ads / Bing Ads; Meta Blueprint; Amazon Marketing Services (AMS)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