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14+ years of experience across B2B, agency, and in-house environments, combining multichannel acquisition strategy, budget management, and performance analytics. Led customer acquisition across the U.S., Canada, and U.K.; coordinated marketing with sales, product, finance, and operations; and expanded digital channels while protecting 650+ retail partner relationships. Brings hands-on experience in lead generation, funnel testing, revenue forecasting, and reporting to guide marketing investment and improve conversion performance.</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Vortex UTV - American Fork, UT</w:t>
            </w:r>
          </w:p>
        </w:tc>
        <w:tc>
          <w:tcPr>
            <w:tcW w:type="dxa" w:w="1872"/>
            <w:tcMar>
              <w:top w:w="0" w:type="dxa"/>
              <w:left w:w="0" w:type="dxa"/>
              <w:bottom w:w="0" w:type="dxa"/>
              <w:right w:w="0" w:type="dxa"/>
            </w:tcMar>
          </w:tcPr>
          <w:p>
            <w:pPr>
              <w:keepNext/>
              <w:spacing w:before="0" w:after="0"/>
              <w:jc w:val="right"/>
            </w:pPr>
            <w:r>
              <w:rPr>
                <w:sz w:val="21"/>
              </w:rPr>
              <w:t>Jan 2024–Present</w:t>
            </w:r>
          </w:p>
        </w:tc>
      </w:tr>
    </w:tbl>
    <w:p>
      <w:pPr>
        <w:pStyle w:val="ListBullet"/>
        <w:keepLines/>
        <w:spacing w:before="0" w:after="20" w:line="276" w:lineRule="auto"/>
        <w:ind w:left="259"/>
        <w:jc w:val="left"/>
      </w:pPr>
      <w:r>
        <w:rPr>
          <w:rFonts w:ascii="EB Garamond" w:hAnsi="EB Garamond"/>
          <w:b w:val="0"/>
          <w:sz w:val="22"/>
        </w:rPr>
        <w:t>Developed and customized a headless UTV e-commerce storefront using React, Next.js, TypeScript, and Shopify GraphQL APIs, combining product discovery, customer accounts, cart functionality, and hosted checkout.</w:t>
      </w:r>
    </w:p>
    <w:p>
      <w:pPr>
        <w:pStyle w:val="ListBullet"/>
        <w:keepLines/>
        <w:spacing w:before="0" w:after="20" w:line="276" w:lineRule="auto"/>
        <w:ind w:left="259"/>
        <w:jc w:val="left"/>
      </w:pPr>
      <w:r>
        <w:rPr>
          <w:rFonts w:ascii="EB Garamond" w:hAnsi="EB Garamond"/>
          <w:b w:val="0"/>
          <w:sz w:val="22"/>
        </w:rPr>
        <w:t>Implemented GA4 e-commerce and engagement tracking for product discovery, cart interactions, searches, filters, and contact intent, with documented controls to prevent duplicate checkout and purchase events.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2024</w:t>
            </w:r>
          </w:p>
        </w:tc>
      </w:tr>
    </w:tbl>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Lines/>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Search Console • Funnel.io • Google Ads • Microsoft Ads • Google Analytics 4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gecko-job:5870464703</dc:identifier>
</cp:coreProperties>
</file>