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with 14+ years of experience across agency and in-house environments, combining hands-on paid search and paid social management with budget strategy, experimentation, and marketing analytics. Scaled monthly marketing volume fourfold while improving ROAS from 1.5 to 3.5. Used attribution analysis, incremental CPA, holdouts, and regression modeling to inform channel investment recommendations, and built automated reporting across 10+ channels using Python, SQL, Excel, Databricks, and Funnel.io. Experienced in evaluating agency performance and translating complex data into clear recommendations for leadership.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Implemented GA4 e-commerce and engagement tracking for product discovery, cart interactions, searches, filters, and contact intent, with documented controls to prevent duplicate checkout and purchase events.</w:t>
      </w:r>
    </w:p>
    <w:p>
      <w:pPr>
        <w:pStyle w:val="ListBullet"/>
        <w:keepLines/>
        <w:spacing w:before="0" w:after="20" w:line="276" w:lineRule="auto"/>
        <w:ind w:left="259"/>
        <w:jc w:val="left"/>
      </w:pPr>
      <w:r>
        <w:rPr>
          <w:rFonts w:ascii="EB Garamond" w:hAnsi="EB Garamond"/>
          <w:b w:val="0"/>
          <w:sz w:val="22"/>
        </w:rPr>
        <w:t>Built a Google Merchant Center feed and product structured-data layer from a shared offer model to align variant identifiers, pricing, availability, and product information across advertising and storefront outputs.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SQL • Excel • Google Tag Manager • Google Search Console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gecko-job:d795965b7595d0d9</dc:identifier>
</cp:coreProperties>
</file>