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experience across professional services, B2B, agency, and e-commerce environments. Developed content strategy across blogs, email, direct mail, and websites; partnered with executives on marketing plans; and used market research to help establish tax and finance departments contributing more than 25% of firm revenue. Combines multichannel campaign management, cross-functional leadership, and performance analysis with hands-on use of AI tools to accelerate content production and marketing workflows.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Vortex UTV - American Fork, UT</w:t>
            </w:r>
          </w:p>
        </w:tc>
        <w:tc>
          <w:tcPr>
            <w:tcW w:type="dxa" w:w="1872"/>
            <w:tcMar>
              <w:top w:w="0" w:type="dxa"/>
              <w:left w:w="0" w:type="dxa"/>
              <w:bottom w:w="0" w:type="dxa"/>
              <w:right w:w="0" w:type="dxa"/>
            </w:tcMar>
          </w:tcPr>
          <w:p>
            <w:pPr>
              <w:keepNext/>
              <w:spacing w:before="0" w:after="0"/>
              <w:jc w:val="right"/>
            </w:pPr>
            <w:r>
              <w:rPr>
                <w:sz w:val="21"/>
              </w:rPr>
              <w:t>Jan 2024–Present</w:t>
            </w:r>
          </w:p>
        </w:tc>
      </w:tr>
    </w:tbl>
    <w:p>
      <w:pPr>
        <w:pStyle w:val="ListBullet"/>
        <w:keepLines/>
        <w:spacing w:before="0" w:after="20" w:line="276" w:lineRule="auto"/>
        <w:ind w:left="259"/>
        <w:jc w:val="left"/>
      </w:pPr>
      <w:r>
        <w:rPr>
          <w:rFonts w:ascii="EB Garamond" w:hAnsi="EB Garamond"/>
          <w:b w:val="0"/>
          <w:sz w:val="22"/>
        </w:rPr>
        <w:t>Developed and customized a headless UTV e-commerce storefront using React, Next.js, TypeScript, and Shopify GraphQL APIs, combining product discovery, customer accounts, cart functionality, and hosted checkout.</w:t>
      </w:r>
    </w:p>
    <w:p>
      <w:pPr>
        <w:pStyle w:val="ListBullet"/>
        <w:keepLines/>
        <w:spacing w:before="0" w:after="20" w:line="276" w:lineRule="auto"/>
        <w:ind w:left="259"/>
        <w:jc w:val="left"/>
      </w:pPr>
      <w:r>
        <w:rPr>
          <w:rFonts w:ascii="EB Garamond" w:hAnsi="EB Garamond"/>
          <w:b w:val="0"/>
          <w:sz w:val="22"/>
        </w:rPr>
        <w:t>Applied AI-assisted development to connect e-commerce requirements with reusable components, typed integrations, documentation, and targeted quality checks.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gecko-job:5866599300</dc:identifier>
</cp:coreProperties>
</file>