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GROWTH MARKETING | ACQUISITION STRATEGY, ATTRIBUTION &amp; CONVERSION</w:t>
      </w:r>
    </w:p>
    <w:p>
      <w:pPr>
        <w:spacing w:before="0" w:after="60" w:line="276" w:lineRule="auto"/>
        <w:jc w:val="center"/>
      </w:pPr>
      <w:r>
        <w:rPr>
          <w:rFonts w:ascii="Calibri" w:hAnsi="Calibri"/>
          <w:b w:val="0"/>
          <w:sz w:val="19"/>
        </w:rPr>
        <w:t>Lehi,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Performance marketing leader with 14+ years across agency, e-commerce, and B2B environments. Managed large paid media budgets and multi-channel acquisition programs, using audience strategy, conversion testing, attribution, and forecasting to guide investment. Built automated reporting and dashboards to improve decisions, and coordinated marketing with sales, product, operations, and finance teams. Brings hands-on Google Ads, Microsoft Ads, Meta, SEO, and landing-page experience.</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Google Ads • Microsoft Ads • Meta • GA4 • Google Tag Manager • attribution • conversion tracking • CRO • forecasting • SEO • landing pages • affiliate marketing • Looker Studio • Tableau • Python • SQL • B2B • e-commerce</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supporting high-volume account operations and disciplined budget oversight.</w:t>
      </w:r>
    </w:p>
    <w:p>
      <w:pPr>
        <w:pStyle w:val="ListBullet"/>
        <w:spacing w:before="0" w:after="20" w:line="276" w:lineRule="auto"/>
        <w:ind w:left="259"/>
        <w:jc w:val="left"/>
      </w:pPr>
      <w:r>
        <w:rPr>
          <w:rFonts w:ascii="Calibri" w:hAnsi="Calibri"/>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Calibri" w:hAnsi="Calibri"/>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Calibri" w:hAnsi="Calibri"/>
          <w:b w:val="0"/>
          <w:sz w:val="22"/>
        </w:rPr>
        <w:t>Used regression models, holdouts, geo tests, scale-up/down analysis, and budget reallocation scenarios to forecast outcomes and present credible investment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Calibri" w:hAnsi="Calibri"/>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Calibri" w:hAnsi="Calibri"/>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Calibri" w:hAnsi="Calibri"/>
          <w:b w:val="0"/>
          <w:sz w:val="22"/>
        </w:rPr>
        <w:t>Coordinated search and broader channel strategy with website, SEO, operations, and creative priorities to maintain efficient delivery and support profitable growth.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pageBreakBefore/>
            </w:pPr>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Calibri" w:hAnsi="Calibri"/>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Calibri" w:hAnsi="Calibri"/>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Calibri" w:hAnsi="Calibri"/>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Calibri" w:hAnsi="Calibri"/>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Calibri" w:hAnsi="Calibri"/>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Calibri" w:hAnsi="Calibri"/>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Calibri" w:hAnsi="Calibri"/>
          <w:b w:val="0"/>
          <w:sz w:val="22"/>
        </w:rPr>
        <w:t>Directed keyword strategy, bid experiments, landing-page optimization, ad copy, audience analysis, CRO, attribution, and A/B and multivariate testing.</w:t>
      </w:r>
    </w:p>
    <w:p>
      <w:pPr>
        <w:pStyle w:val="ListBullet"/>
        <w:spacing w:before="0" w:after="20" w:line="276" w:lineRule="auto"/>
        <w:ind w:left="259"/>
        <w:jc w:val="left"/>
      </w:pPr>
      <w:r>
        <w:rPr>
          <w:rFonts w:ascii="Calibri" w:hAnsi="Calibri"/>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Calibri" w:hAnsi="Calibri"/>
          <w:b w:val="0"/>
          <w:sz w:val="22"/>
        </w:rPr>
        <w:t>Managed 150+ campaigns and approximately $400K in monthly spend, generating more than $9 million in revenue and 35% of company sales.</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Bachelor of Science, Business Management - Brigham Young University</w:t>
      </w:r>
    </w:p>
    <w:p>
      <w:pPr>
        <w:spacing w:before="0" w:after="0" w:line="276" w:lineRule="auto"/>
        <w:jc w:val="left"/>
      </w:pPr>
      <w:r>
        <w:rPr>
          <w:rFonts w:ascii="Calibri" w:hAnsi="Calibri"/>
          <w:b w:val="0"/>
          <w:sz w:val="22"/>
        </w:rPr>
        <w:t>Certifications: Google Ads, Google Analytics, Microsoft Ads, Meta Blueprint, Amazon Marketing Services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