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analytics</w:t>
            </w:r>
          </w:p>
        </w:tc>
        <w:tc>
          <w:tcPr>
            <w:tcW w:type="dxa" w:w="5400"/>
          </w:tcPr>
          <w:p>
            <w:pPr>
              <w:pStyle w:val="ListBullet"/>
              <w:spacing w:after="0" w:line="276" w:lineRule="auto"/>
            </w:pPr>
            <w:r/>
            <w:r>
              <w:rPr>
                <w:rFonts w:ascii="EB Garamond" w:hAnsi="EB Garamond"/>
                <w:sz w:val="21"/>
              </w:rPr>
              <w:t>management</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analytics • 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