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SEO &amp; SEM Strategy</w:t>
            </w:r>
          </w:p>
        </w:tc>
        <w:tc>
          <w:tcPr>
            <w:tcW w:type="dxa" w:w="5400"/>
          </w:tcPr>
          <w:p>
            <w:pPr>
              <w:pStyle w:val="ListBullet"/>
              <w:spacing w:after="0" w:line="276" w:lineRule="auto"/>
            </w:pPr>
            <w:r/>
            <w:r>
              <w:rPr>
                <w:rFonts w:ascii="EB Garamond" w:hAnsi="EB Garamond"/>
                <w:sz w:val="21"/>
              </w:rPr>
              <w:t>B2B &amp; B2C Marketing</w:t>
            </w:r>
          </w:p>
        </w:tc>
      </w:tr>
      <w:tr>
        <w:tc>
          <w:tcPr>
            <w:tcW w:type="dxa" w:w="5400"/>
          </w:tcPr>
          <w:p>
            <w:pPr>
              <w:pStyle w:val="ListBullet"/>
              <w:spacing w:after="0" w:line="276" w:lineRule="auto"/>
            </w:pPr>
            <w:r/>
            <w:r>
              <w:rPr>
                <w:rFonts w:ascii="EB Garamond" w:hAnsi="EB Garamond"/>
                <w:sz w:val="21"/>
              </w:rPr>
              <w:t>Attribution Modeling</w:t>
            </w:r>
          </w:p>
        </w:tc>
        <w:tc>
          <w:tcPr>
            <w:tcW w:type="dxa" w:w="5400"/>
          </w:tcPr>
          <w:p>
            <w:pPr>
              <w:pStyle w:val="ListBullet"/>
              <w:spacing w:after="0" w:line="276" w:lineRule="auto"/>
            </w:pPr>
            <w:r/>
            <w:r>
              <w:rPr>
                <w:rFonts w:ascii="EB Garamond" w:hAnsi="EB Garamond"/>
                <w:sz w:val="21"/>
              </w:rPr>
              <w:t>Digital Marketing Strategy</w:t>
            </w:r>
          </w:p>
        </w:tc>
      </w:tr>
      <w:tr>
        <w:tc>
          <w:tcPr>
            <w:tcW w:type="dxa" w:w="5400"/>
          </w:tcPr>
          <w:p>
            <w:pPr>
              <w:pStyle w:val="ListBullet"/>
              <w:spacing w:after="0" w:line="276" w:lineRule="auto"/>
            </w:pPr>
            <w:r/>
            <w:r>
              <w:rPr>
                <w:rFonts w:ascii="EB Garamond" w:hAnsi="EB Garamond"/>
                <w:sz w:val="21"/>
              </w:rPr>
              <w:t>Paid Media Strategy</w:t>
            </w:r>
          </w:p>
        </w:tc>
        <w:tc>
          <w:tcPr>
            <w:tcW w:type="dxa" w:w="5400"/>
          </w:tcPr>
          <w:p>
            <w:pPr>
              <w:pStyle w:val="ListBullet"/>
              <w:spacing w:after="0" w:line="276" w:lineRule="auto"/>
            </w:pPr>
            <w:r/>
            <w:r>
              <w:rPr>
                <w:rFonts w:ascii="EB Garamond" w:hAnsi="EB Garamond"/>
                <w:sz w:val="21"/>
              </w:rPr>
              <w:t>Performance Marketing</w:t>
            </w:r>
          </w:p>
        </w:tc>
      </w:tr>
      <w:tr>
        <w:tc>
          <w:tcPr>
            <w:tcW w:type="dxa" w:w="5400"/>
          </w:tcPr>
          <w:p>
            <w:pPr>
              <w:pStyle w:val="ListBullet"/>
              <w:spacing w:after="0" w:line="276" w:lineRule="auto"/>
            </w:pPr>
            <w:r/>
            <w:r>
              <w:rPr>
                <w:rFonts w:ascii="EB Garamond" w:hAnsi="EB Garamond"/>
                <w:sz w:val="21"/>
              </w:rPr>
              <w:t>Lead Generation</w:t>
            </w:r>
          </w:p>
        </w:tc>
        <w:tc>
          <w:tcPr>
            <w:tcW w:type="dxa" w:w="5400"/>
          </w:tcPr>
          <w:p>
            <w:pPr>
              <w:pStyle w:val="ListBullet"/>
              <w:spacing w:after="0" w:line="276" w:lineRule="auto"/>
            </w:pPr>
            <w:r/>
            <w:r>
              <w:rPr>
                <w:rFonts w:ascii="EB Garamond" w:hAnsi="EB Garamond"/>
                <w:sz w:val="21"/>
              </w:rPr>
              <w:t>Marketing Analytics</w:t>
            </w:r>
          </w:p>
        </w:tc>
      </w:tr>
      <w:tr>
        <w:tc>
          <w:tcPr>
            <w:tcW w:type="dxa" w:w="5400"/>
          </w:tcPr>
          <w:p>
            <w:pPr>
              <w:pStyle w:val="ListBullet"/>
              <w:spacing w:after="0" w:line="276" w:lineRule="auto"/>
            </w:pPr>
            <w:r/>
            <w:r>
              <w:rPr>
                <w:rFonts w:ascii="EB Garamond" w:hAnsi="EB Garamond"/>
                <w:sz w:val="21"/>
              </w:rPr>
              <w:t>E-Commerce Strategy</w:t>
            </w:r>
          </w:p>
        </w:tc>
        <w:tc>
          <w:tcPr>
            <w:tcW w:type="dxa" w:w="5400"/>
          </w:tcPr>
          <w:p>
            <w:pPr>
              <w:pStyle w:val="ListBullet"/>
              <w:spacing w:after="0" w:line="276" w:lineRule="auto"/>
            </w:pPr>
            <w:r/>
            <w:r>
              <w:rPr>
                <w:rFonts w:ascii="EB Garamond" w:hAnsi="EB Garamond"/>
                <w:sz w:val="21"/>
              </w:rPr>
              <w:t>Conversion Rate Optimization</w:t>
            </w:r>
          </w:p>
        </w:tc>
      </w:tr>
      <w:tr>
        <w:tc>
          <w:tcPr>
            <w:tcW w:type="dxa" w:w="5400"/>
          </w:tcPr>
          <w:p>
            <w:pPr>
              <w:pStyle w:val="ListBullet"/>
              <w:spacing w:after="0" w:line="276" w:lineRule="auto"/>
            </w:pPr>
            <w:r/>
            <w:r>
              <w:rPr>
                <w:rFonts w:ascii="EB Garamond" w:hAnsi="EB Garamond"/>
                <w:sz w:val="21"/>
              </w:rPr>
              <w:t>Marketing Automation</w:t>
            </w:r>
          </w:p>
        </w:tc>
        <w:tc>
          <w:tcPr>
            <w:tcW w:type="dxa" w:w="5400"/>
          </w:tcPr>
          <w:p>
            <w:pPr>
              <w:pStyle w:val="ListBullet"/>
              <w:spacing w:after="0" w:line="276" w:lineRule="auto"/>
            </w:pPr>
            <w:r/>
            <w:r>
              <w:rPr>
                <w:rFonts w:ascii="EB Garamond" w:hAnsi="EB Garamond"/>
                <w:sz w:val="21"/>
              </w:rPr>
              <w:t>Budget Forecasting</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Oversaw project management in a fast-changing e-commerce channels while protecting relationships with more than 650 B2B retailers.</w:t>
      </w:r>
    </w:p>
    <w:p>
      <w:pPr>
        <w:pStyle w:val="ListBulle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Used market research and business planning to help establish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Managed online marketing efforts using multiple SEO/SEM tools.</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Tag Manager • Google Ads • Microsoft Ads • Google Analytics 4 • Google Search Console • Google Ads Editor • Meta Ads • Funnel.io • Google Ads API</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