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analytics</w:t>
            </w:r>
          </w:p>
        </w:tc>
        <w:tc>
          <w:tcPr>
            <w:tcW w:type="dxa" w:w="5400"/>
          </w:tcPr>
          <w:p>
            <w:pPr>
              <w:pStyle w:val="ListBullet"/>
              <w:spacing w:after="0" w:line="276" w:lineRule="auto"/>
            </w:pPr>
            <w:r/>
            <w:r>
              <w:rPr>
                <w:rFonts w:ascii="EB Garamond" w:hAnsi="EB Garamond"/>
                <w:sz w:val="21"/>
              </w:rPr>
              <w:t>leadership</w:t>
            </w:r>
          </w:p>
        </w:tc>
      </w:tr>
      <w:tr>
        <w:tc>
          <w:tcPr>
            <w:tcW w:type="dxa" w:w="5400"/>
          </w:tcPr>
          <w:p>
            <w:pPr>
              <w:pStyle w:val="ListBullet"/>
              <w:spacing w:after="0" w:line="276" w:lineRule="auto"/>
            </w:pPr>
            <w:r/>
            <w:r>
              <w:rPr>
                <w:rFonts w:ascii="EB Garamond" w:hAnsi="EB Garamond"/>
                <w:sz w:val="21"/>
              </w:rPr>
              <w:t>management</w:t>
            </w:r>
          </w:p>
        </w:tc>
        <w:tc>
          <w:tcPr>
            <w:tcW w:type="dxa" w:w="5400"/>
          </w:tcPr>
          <w:p>
            <w:pPr>
              <w:pStyle w:val="ListBullet"/>
              <w:spacing w:after="0" w:line="276" w:lineRule="auto"/>
            </w:pPr>
            <w:r/>
            <w:r>
              <w:rPr>
                <w:rFonts w:ascii="EB Garamond" w:hAnsi="EB Garamond"/>
                <w:sz w:val="21"/>
              </w:rPr>
              <w:t>AI</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analytics • leadership • management • AI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