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Data Visualization</w:t>
            </w:r>
          </w:p>
        </w:tc>
      </w:tr>
      <w:tr>
        <w:tc>
          <w:tcPr>
            <w:tcW w:type="dxa" w:w="5400"/>
          </w:tcPr>
          <w:p>
            <w:pPr>
              <w:pStyle w:val="ListBullet"/>
              <w:spacing w:after="0" w:line="276" w:lineRule="auto"/>
            </w:pPr>
            <w:r/>
            <w:r>
              <w:rPr>
                <w:rFonts w:ascii="EB Garamond" w:hAnsi="EB Garamond"/>
                <w:sz w:val="21"/>
              </w:rPr>
              <w:t>Team Development</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Analytics 4 • Google Tag Manager • Google Ads • Microsoft Ads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