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AGENCY CLIENT STRATEGY | PAID MEDIA &amp; PERFORMANCE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leader with 14+ years in paid media, agency account strategy, and client-facing performance analysis. Managed 75+ Google Ads accounts and more than $276K in combined monthly spend while advising clients on business goals, channel allocation, campaign structure, and growth priorities. Presented data-backed recommendations, managed teams and large budgets, and coordinated with business stakeholders to improve acquisition outcomes.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Agency Client Work: </w:t>
      </w:r>
      <w:r>
        <w:rPr>
          <w:rFonts w:ascii="Calibri" w:hAnsi="Calibri"/>
          <w:b w:val="0"/>
          <w:color w:val="262626"/>
          <w:sz w:val="22"/>
        </w:rPr>
        <w:t>Client consultation, business-goal discovery, account management, performance presentations, and cross-functional coordination.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Media &amp; Platforms: </w:t>
      </w:r>
      <w:r>
        <w:rPr>
          <w:rFonts w:ascii="Calibri" w:hAnsi="Calibri"/>
          <w:b w:val="0"/>
          <w:color w:val="262626"/>
          <w:sz w:val="22"/>
        </w:rPr>
        <w:t>Google Ads, Microsoft Ads, Meta, Amazon, Search, Shopping, Display, YouTube, remarketing, and campaign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Economics: </w:t>
      </w:r>
      <w:r>
        <w:rPr>
          <w:rFonts w:ascii="Calibri" w:hAnsi="Calibri"/>
          <w:b w:val="0"/>
          <w:color w:val="262626"/>
          <w:sz w:val="22"/>
        </w:rPr>
        <w:t>Tableau, Looker Studio, GA4, attribution, conversion analysis, ROI, ROAS, CPA, LTV, and forecasting.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Planning &amp; Growth: </w:t>
      </w:r>
      <w:r>
        <w:rPr>
          <w:rFonts w:ascii="Calibri" w:hAnsi="Calibri"/>
          <w:b w:val="0"/>
          <w:color w:val="262626"/>
          <w:sz w:val="22"/>
        </w:rPr>
        <w:t>Budget allocation, audience and competitive research, campaign testing, investment scenarios, and client recommendations.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Reporting: </w:t>
      </w:r>
      <w:r>
        <w:rPr>
          <w:rFonts w:ascii="Calibri" w:hAnsi="Calibri"/>
          <w:b w:val="0"/>
          <w:color w:val="262626"/>
          <w:sz w:val="22"/>
        </w:rPr>
        <w:t>Four-person paid media team management, eight-person ecommerce team leadership, automated reporting, and KPI presentations.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