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email</w:t>
            </w:r>
          </w:p>
        </w:tc>
        <w:tc>
          <w:tcPr>
            <w:tcW w:type="dxa" w:w="5400"/>
          </w:tcPr>
          <w:p>
            <w:pPr>
              <w:pStyle w:val="ListBullet"/>
              <w:spacing w:after="0" w:line="276" w:lineRule="auto"/>
            </w:pPr>
            <w:r/>
            <w:r>
              <w:rPr>
                <w:rFonts w:ascii="EB Garamond" w:hAnsi="EB Garamond"/>
                <w:sz w:val="21"/>
              </w:rPr>
              <w:t>content</w:t>
            </w:r>
          </w:p>
        </w:tc>
      </w:tr>
      <w:tr>
        <w:tc>
          <w:tcPr>
            <w:tcW w:type="dxa" w:w="5400"/>
          </w:tcPr>
          <w:p>
            <w:pPr>
              <w:pStyle w:val="ListBullet"/>
              <w:spacing w:after="0" w:line="276" w:lineRule="auto"/>
            </w:pPr>
            <w:r/>
            <w:r>
              <w:rPr>
                <w:rFonts w:ascii="EB Garamond" w:hAnsi="EB Garamond"/>
                <w:sz w:val="21"/>
              </w:rPr>
              <w:t>e-commerce</w:t>
            </w:r>
          </w:p>
        </w:tc>
        <w:tc>
          <w:tcPr>
            <w:tcW w:type="dxa" w:w="5400"/>
          </w:tcPr>
          <w:p>
            <w:pPr>
              <w:pStyle w:val="ListBullet"/>
              <w:spacing w:after="0" w:line="276" w:lineRule="auto"/>
            </w:pPr>
            <w:r/>
            <w:r>
              <w:rPr>
                <w:rFonts w:ascii="EB Garamond" w:hAnsi="EB Garamond"/>
                <w:sz w:val="21"/>
              </w:rPr>
              <w:t>budget</w:t>
            </w:r>
          </w:p>
        </w:tc>
      </w:tr>
      <w:tr>
        <w:tc>
          <w:tcPr>
            <w:tcW w:type="dxa" w:w="5400"/>
          </w:tcPr>
          <w:p>
            <w:pPr>
              <w:pStyle w:val="ListBullet"/>
              <w:spacing w:after="0" w:line="276" w:lineRule="auto"/>
            </w:pPr>
            <w:r/>
            <w:r>
              <w:rPr>
                <w:rFonts w:ascii="EB Garamond" w:hAnsi="EB Garamond"/>
                <w:sz w:val="21"/>
              </w:rPr>
              <w:t>reporting</w:t>
            </w:r>
          </w:p>
        </w:tc>
        <w:tc>
          <w:tcPr>
            <w:tcW w:type="dxa" w:w="5400"/>
          </w:tcPr>
          <w:p>
            <w:pPr>
              <w:pStyle w:val="ListBullet"/>
              <w:spacing w:after="0" w:line="276" w:lineRule="auto"/>
            </w:pPr>
            <w:r/>
            <w:r>
              <w:rPr>
                <w:rFonts w:ascii="EB Garamond" w:hAnsi="EB Garamond"/>
                <w:sz w:val="21"/>
              </w:rPr>
              <w:t>management</w:t>
            </w:r>
          </w:p>
        </w:tc>
      </w:tr>
      <w:tr>
        <w:tc>
          <w:tcPr>
            <w:tcW w:type="dxa" w:w="5400"/>
          </w:tcPr>
          <w:p>
            <w:pPr>
              <w:pStyle w:val="ListBullet"/>
              <w:spacing w:after="0" w:line="276" w:lineRule="auto"/>
            </w:pPr>
            <w:r/>
            <w:r>
              <w:rPr>
                <w:rFonts w:ascii="EB Garamond" w:hAnsi="EB Garamond"/>
                <w:sz w:val="21"/>
              </w:rPr>
              <w:t>social media</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email • content • e-commerce • budget • reporting • management • social media</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