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Google Analytics</w:t>
            </w:r>
          </w:p>
        </w:tc>
        <w:tc>
          <w:tcPr>
            <w:tcW w:type="dxa" w:w="5400"/>
          </w:tcPr>
          <w:p>
            <w:pPr>
              <w:pStyle w:val="ListBullet"/>
              <w:spacing w:after="0" w:line="276" w:lineRule="auto"/>
            </w:pPr>
            <w:r/>
            <w:r>
              <w:rPr>
                <w:rFonts w:ascii="EB Garamond" w:hAnsi="EB Garamond"/>
                <w:sz w:val="21"/>
              </w:rPr>
              <w:t>attribution</w:t>
            </w:r>
          </w:p>
        </w:tc>
      </w:tr>
      <w:tr>
        <w:tc>
          <w:tcPr>
            <w:tcW w:type="dxa" w:w="5400"/>
          </w:tcPr>
          <w:p>
            <w:pPr>
              <w:pStyle w:val="ListBullet"/>
              <w:spacing w:after="0" w:line="276" w:lineRule="auto"/>
            </w:pPr>
            <w:r/>
            <w:r>
              <w:rPr>
                <w:rFonts w:ascii="EB Garamond" w:hAnsi="EB Garamond"/>
                <w:sz w:val="21"/>
              </w:rPr>
              <w:t>content</w:t>
            </w:r>
          </w:p>
        </w:tc>
        <w:tc>
          <w:tcPr>
            <w:tcW w:type="dxa" w:w="5400"/>
          </w:tcPr>
          <w:p>
            <w:pPr>
              <w:pStyle w:val="ListBullet"/>
              <w:spacing w:after="0" w:line="276" w:lineRule="auto"/>
            </w:pPr>
            <w:r/>
            <w:r>
              <w:rPr>
                <w:rFonts w:ascii="EB Garamond" w:hAnsi="EB Garamond"/>
                <w:sz w:val="21"/>
              </w:rPr>
              <w:t>e-commerce</w:t>
            </w:r>
          </w:p>
        </w:tc>
      </w:tr>
      <w:tr>
        <w:tc>
          <w:tcPr>
            <w:tcW w:type="dxa" w:w="5400"/>
          </w:tcPr>
          <w:p>
            <w:pPr>
              <w:pStyle w:val="ListBullet"/>
              <w:spacing w:after="0" w:line="276" w:lineRule="auto"/>
            </w:pPr>
            <w:r/>
            <w:r>
              <w:rPr>
                <w:rFonts w:ascii="EB Garamond" w:hAnsi="EB Garamond"/>
                <w:sz w:val="21"/>
              </w:rPr>
              <w:t>budget</w:t>
            </w:r>
          </w:p>
        </w:tc>
        <w:tc>
          <w:tcPr>
            <w:tcW w:type="dxa" w:w="5400"/>
          </w:tcPr>
          <w:p>
            <w:pPr>
              <w:pStyle w:val="ListBullet"/>
              <w:spacing w:after="0" w:line="276" w:lineRule="auto"/>
            </w:pPr>
            <w:r/>
            <w:r>
              <w:rPr>
                <w:rFonts w:ascii="EB Garamond" w:hAnsi="EB Garamond"/>
                <w:sz w:val="21"/>
              </w:rPr>
              <w:t>reporting</w:t>
            </w:r>
          </w:p>
        </w:tc>
      </w:tr>
      <w:tr>
        <w:tc>
          <w:tcPr>
            <w:tcW w:type="dxa" w:w="5400"/>
          </w:tcPr>
          <w:p>
            <w:pPr>
              <w:pStyle w:val="ListBullet"/>
              <w:spacing w:after="0" w:line="276" w:lineRule="auto"/>
            </w:pPr>
            <w:r/>
            <w:r>
              <w:rPr>
                <w:rFonts w:ascii="EB Garamond" w:hAnsi="EB Garamond"/>
                <w:sz w:val="21"/>
              </w:rPr>
              <w:t>analytics</w:t>
            </w:r>
          </w:p>
        </w:tc>
        <w:tc>
          <w:tcPr>
            <w:tcW w:type="dxa" w:w="5400"/>
          </w:tcPr>
          <w:p>
            <w:pPr>
              <w:pStyle w:val="ListBullet"/>
              <w:spacing w:after="0" w:line="276" w:lineRule="auto"/>
            </w:pPr>
            <w:r/>
            <w:r>
              <w:rPr>
                <w:rFonts w:ascii="EB Garamond" w:hAnsi="EB Garamond"/>
                <w:sz w:val="21"/>
              </w:rPr>
              <w:t>management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 attribution • content • e-commerce • budget • reporting • analytics • 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