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Data Visualization</w:t>
            </w:r>
          </w:p>
        </w:tc>
      </w:tr>
      <w:tr>
        <w:tc>
          <w:tcPr>
            <w:tcW w:type="dxa" w:w="5400"/>
          </w:tcPr>
          <w:p>
            <w:pPr>
              <w:pStyle w:val="ListBullet"/>
              <w:spacing w:after="0" w:line="276" w:lineRule="auto"/>
            </w:pPr>
            <w:r/>
            <w:r>
              <w:rPr>
                <w:rFonts w:ascii="EB Garamond" w:hAnsi="EB Garamond"/>
                <w:sz w:val="21"/>
              </w:rPr>
              <w:t>Attribution Modeling</w:t>
            </w:r>
          </w:p>
        </w:tc>
        <w:tc>
          <w:tcPr>
            <w:tcW w:type="dxa" w:w="5400"/>
          </w:tcPr>
          <w:p>
            <w:pPr>
              <w:pStyle w:val="ListBullet"/>
              <w:spacing w:after="0" w:line="276" w:lineRule="auto"/>
            </w:pPr>
            <w:r/>
            <w:r>
              <w:rPr>
                <w:rFonts w:ascii="EB Garamond" w:hAnsi="EB Garamond"/>
                <w:sz w:val="21"/>
              </w:rPr>
              <w:t>SEO &amp; SEM Strategy</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Lead Generation</w:t>
            </w:r>
          </w:p>
        </w:tc>
      </w:tr>
      <w:tr>
        <w:tc>
          <w:tcPr>
            <w:tcW w:type="dxa" w:w="5400"/>
          </w:tcPr>
          <w:p>
            <w:pPr>
              <w:pStyle w:val="ListBullet"/>
              <w:spacing w:after="0" w:line="276" w:lineRule="auto"/>
            </w:pPr>
            <w:r/>
            <w:r>
              <w:rPr>
                <w:rFonts w:ascii="EB Garamond" w:hAnsi="EB Garamond"/>
                <w:sz w:val="21"/>
              </w:rPr>
              <w:t>Campaign Optimization</w:t>
            </w:r>
          </w:p>
        </w:tc>
        <w:tc>
          <w:tcPr>
            <w:tcW w:type="dxa" w:w="5400"/>
          </w:tcPr>
          <w:p>
            <w:pPr>
              <w:pStyle w:val="ListBullet"/>
              <w:spacing w:after="0" w:line="276" w:lineRule="auto"/>
            </w:pPr>
            <w:r/>
            <w:r>
              <w:rPr>
                <w:rFonts w:ascii="EB Garamond" w:hAnsi="EB Garamond"/>
                <w:sz w:val="21"/>
              </w:rPr>
              <w:t>A/B &amp; Multivariate Testing</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Analytics 4 • Google Tag Manager • Google Search Console • Google Ads • Microsoft Ads • Looker Studio • Google Ads API • Google Ads Editor • Meta Ads • Bing Ads Editor • Funnel.io</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