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B2B &amp; B2C Marketing</w:t>
            </w:r>
          </w:p>
        </w:tc>
        <w:tc>
          <w:tcPr>
            <w:tcW w:type="dxa" w:w="5400"/>
          </w:tcPr>
          <w:p>
            <w:pPr>
              <w:pStyle w:val="ListBullet"/>
              <w:spacing w:after="0" w:line="276" w:lineRule="auto"/>
            </w:pPr>
            <w:r/>
            <w:r>
              <w:rPr>
                <w:rFonts w:ascii="EB Garamond" w:hAnsi="EB Garamond"/>
                <w:sz w:val="21"/>
              </w:rPr>
              <w:t>Campaign Optimization</w:t>
            </w:r>
          </w:p>
        </w:tc>
      </w:tr>
      <w:tr>
        <w:tc>
          <w:tcPr>
            <w:tcW w:type="dxa" w:w="5400"/>
          </w:tcPr>
          <w:p>
            <w:pPr>
              <w:pStyle w:val="ListBullet"/>
              <w:spacing w:after="0" w:line="276" w:lineRule="auto"/>
            </w:pPr>
            <w:r/>
            <w:r>
              <w:rPr>
                <w:rFonts w:ascii="EB Garamond" w:hAnsi="EB Garamond"/>
                <w:sz w:val="21"/>
              </w:rPr>
              <w:t>Cross-Functional Leadership</w:t>
            </w:r>
          </w:p>
        </w:tc>
        <w:tc>
          <w:tcPr>
            <w:tcW w:type="dxa" w:w="5400"/>
          </w:tcPr>
          <w:p>
            <w:pPr>
              <w:pStyle w:val="ListBullet"/>
              <w:spacing w:after="0" w:line="276" w:lineRule="auto"/>
            </w:pPr>
            <w:r/>
            <w:r>
              <w:rPr>
                <w:rFonts w:ascii="EB Garamond" w:hAnsi="EB Garamond"/>
                <w:sz w:val="21"/>
              </w:rPr>
              <w:t>Paid Media Strategy</w:t>
            </w:r>
          </w:p>
        </w:tc>
      </w:tr>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Lead Generation</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E-Commerce Strategy</w:t>
            </w:r>
          </w:p>
        </w:tc>
        <w:tc>
          <w:tcPr>
            <w:tcW w:type="dxa" w:w="5400"/>
          </w:tcPr>
          <w:p>
            <w:pPr>
              <w:pStyle w:val="ListBullet"/>
              <w:spacing w:after="0" w:line="276" w:lineRule="auto"/>
            </w:pPr>
            <w:r/>
            <w:r>
              <w:rPr>
                <w:rFonts w:ascii="EB Garamond" w:hAnsi="EB Garamond"/>
                <w:sz w:val="21"/>
              </w:rPr>
              <w:t>Customer Acquisition</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1"/>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Salesforce • Amazon Seller Central • Amazon Vendor Central • Google Ads • Microsoft Ads • Google Analytics 4 • Google Tag Manager • Google Search Console</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