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B2B &amp; B2C Marketing</w:t>
            </w:r>
          </w:p>
        </w:tc>
        <w:tc>
          <w:tcPr>
            <w:tcW w:type="dxa" w:w="5400"/>
          </w:tcPr>
          <w:p>
            <w:pPr>
              <w:pStyle w:val="ListBullet"/>
              <w:spacing w:after="0" w:line="276" w:lineRule="auto"/>
            </w:pPr>
            <w:r/>
            <w:r>
              <w:rPr>
                <w:rFonts w:ascii="EB Garamond" w:hAnsi="EB Garamond"/>
                <w:sz w:val="21"/>
              </w:rPr>
              <w:t>Marketing Technology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E-Commerce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Scaled monthly marketing volume from approximately $200,000 to $800,000 while improving ROAS from 1.5 to 3.5 through bidding, audience, budget, campaign, and conversion optimization.</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Microsoft Ads • Google Analytics 4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