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 — GROUPED RESUME SOURCE MATERIAL</w:t>
      </w:r>
    </w:p>
    <w:p>
      <w:pPr>
        <w:spacing w:before="0" w:after="40" w:line="276" w:lineRule="auto"/>
        <w:jc w:val="center"/>
      </w:pPr>
      <w:r>
        <w:rPr>
          <w:rFonts w:ascii="EB Garamond" w:hAnsi="EB Garamond"/>
          <w:b w:val="0"/>
          <w:sz w:val="21"/>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Digital Marketing Strategy</w:t>
            </w:r>
          </w:p>
        </w:tc>
        <w:tc>
          <w:tcPr>
            <w:tcW w:type="dxa" w:w="5400"/>
          </w:tcPr>
          <w:p>
            <w:pPr>
              <w:pStyle w:val="ListBullet"/>
              <w:spacing w:after="0" w:line="276" w:lineRule="auto"/>
            </w:pPr>
            <w:r/>
            <w:r>
              <w:rPr>
                <w:rFonts w:ascii="EB Garamond" w:hAnsi="EB Garamond"/>
                <w:sz w:val="21"/>
              </w:rPr>
              <w:t>Paid Media Strategy</w:t>
            </w:r>
          </w:p>
        </w:tc>
      </w:tr>
      <w:tr>
        <w:tc>
          <w:tcPr>
            <w:tcW w:type="dxa" w:w="5400"/>
          </w:tcPr>
          <w:p>
            <w:pPr>
              <w:pStyle w:val="ListBullet"/>
              <w:spacing w:after="0" w:line="276" w:lineRule="auto"/>
            </w:pPr>
            <w:r/>
            <w:r>
              <w:rPr>
                <w:rFonts w:ascii="EB Garamond" w:hAnsi="EB Garamond"/>
                <w:sz w:val="21"/>
              </w:rPr>
              <w:t>Performance Marketing</w:t>
            </w:r>
          </w:p>
        </w:tc>
        <w:tc>
          <w:tcPr>
            <w:tcW w:type="dxa" w:w="5400"/>
          </w:tcPr>
          <w:p>
            <w:pPr>
              <w:pStyle w:val="ListBullet"/>
              <w:spacing w:after="0" w:line="276" w:lineRule="auto"/>
            </w:pPr>
            <w:r/>
            <w:r>
              <w:rPr>
                <w:rFonts w:ascii="EB Garamond" w:hAnsi="EB Garamond"/>
                <w:sz w:val="21"/>
              </w:rPr>
              <w:t>Marketing Analytics</w:t>
            </w:r>
          </w:p>
        </w:tc>
      </w:tr>
      <w:tr>
        <w:tc>
          <w:tcPr>
            <w:tcW w:type="dxa" w:w="5400"/>
          </w:tcPr>
          <w:p>
            <w:pPr>
              <w:pStyle w:val="ListBullet"/>
              <w:spacing w:after="0" w:line="276" w:lineRule="auto"/>
            </w:pPr>
            <w:r/>
            <w:r>
              <w:rPr>
                <w:rFonts w:ascii="EB Garamond" w:hAnsi="EB Garamond"/>
                <w:sz w:val="21"/>
              </w:rPr>
              <w:t>E-Commerce Strategy</w:t>
            </w:r>
          </w:p>
        </w:tc>
        <w:tc>
          <w:tcPr>
            <w:tcW w:type="dxa" w:w="5400"/>
          </w:tcPr>
          <w:p>
            <w:pPr>
              <w:pStyle w:val="ListBullet"/>
              <w:spacing w:after="0" w:line="276" w:lineRule="auto"/>
            </w:pPr>
            <w:r/>
            <w:r>
              <w:rPr>
                <w:rFonts w:ascii="EB Garamond" w:hAnsi="EB Garamond"/>
                <w:sz w:val="21"/>
              </w:rPr>
              <w:t>Marketing Automation</w:t>
            </w:r>
          </w:p>
        </w:tc>
      </w:tr>
      <w:tr>
        <w:tc>
          <w:tcPr>
            <w:tcW w:type="dxa" w:w="5400"/>
          </w:tcPr>
          <w:p>
            <w:pPr>
              <w:pStyle w:val="ListBullet"/>
              <w:spacing w:after="0" w:line="276" w:lineRule="auto"/>
            </w:pPr>
            <w:r/>
            <w:r>
              <w:rPr>
                <w:rFonts w:ascii="EB Garamond" w:hAnsi="EB Garamond"/>
                <w:sz w:val="21"/>
              </w:rPr>
              <w:t>Customer Acquisition</w:t>
            </w:r>
          </w:p>
        </w:tc>
        <w:tc>
          <w:tcPr>
            <w:tcW w:type="dxa" w:w="5400"/>
          </w:tcPr>
          <w:p>
            <w:pPr>
              <w:pStyle w:val="ListBullet"/>
              <w:spacing w:after="0" w:line="276" w:lineRule="auto"/>
            </w:pPr>
            <w:r/>
            <w:r>
              <w:rPr>
                <w:rFonts w:ascii="EB Garamond" w:hAnsi="EB Garamond"/>
                <w:sz w:val="21"/>
              </w:rPr>
              <w:t>SEO &amp; SEM Strategy</w:t>
            </w:r>
          </w:p>
        </w:tc>
      </w:tr>
      <w:tr>
        <w:tc>
          <w:tcPr>
            <w:tcW w:type="dxa" w:w="5400"/>
          </w:tcPr>
          <w:p>
            <w:pPr>
              <w:pStyle w:val="ListBullet"/>
              <w:spacing w:after="0" w:line="276" w:lineRule="auto"/>
            </w:pPr>
            <w:r/>
            <w:r>
              <w:rPr>
                <w:rFonts w:ascii="EB Garamond" w:hAnsi="EB Garamond"/>
                <w:sz w:val="21"/>
              </w:rPr>
              <w:t>B2B &amp; B2C Marketing</w:t>
            </w:r>
          </w:p>
        </w:tc>
        <w:tc>
          <w:tcPr>
            <w:tcW w:type="dxa" w:w="5400"/>
          </w:tcPr>
          <w:p>
            <w:pPr>
              <w:pStyle w:val="ListBullet"/>
              <w:spacing w:after="0" w:line="276" w:lineRule="auto"/>
            </w:pPr>
            <w:r/>
            <w:r>
              <w:rPr>
                <w:rFonts w:ascii="EB Garamond" w:hAnsi="EB Garamond"/>
                <w:sz w:val="21"/>
              </w:rPr>
              <w:t>Marketing Technology</w:t>
            </w: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w:t>
            </w:r>
          </w:p>
        </w:tc>
        <w:tc>
          <w:tcPr>
            <w:tcW w:type="dxa" w:w="2592"/>
          </w:tcPr>
          <w:p>
            <w:r/>
          </w:p>
        </w:tc>
      </w:tr>
      <w:tr>
        <w:tc>
          <w:tcPr>
            <w:tcW w:type="dxa" w:w="8208"/>
          </w:tcPr>
          <w:p>
            <w:pPr>
              <w:keepNext/>
            </w:pPr>
            <w:r>
              <w:rPr>
                <w:b/>
              </w:rPr>
              <w:t>1-800 Contacts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reporting across 10+ marketing channels using Python, Databricks, SQL, Excel, and Funnel.io.</w:t>
      </w:r>
    </w:p>
    <w:p>
      <w:pPr>
        <w:pStyle w:val="ListBullet"/>
        <w:spacing w:before="0" w:after="20" w:line="276" w:lineRule="auto"/>
        <w:ind w:left="259"/>
        <w:jc w:val="left"/>
      </w:pPr>
      <w:r>
        <w:rPr>
          <w:rFonts w:ascii="EB Garamond" w:hAnsi="EB Garamond"/>
          <w:b w:val="0"/>
          <w:sz w:val="21"/>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w:t>
            </w:r>
          </w:p>
        </w:tc>
        <w:tc>
          <w:tcPr>
            <w:tcW w:type="dxa" w:w="2592"/>
          </w:tcPr>
          <w:p>
            <w:r/>
          </w:p>
        </w:tc>
      </w:tr>
      <w:tr>
        <w:tc>
          <w:tcPr>
            <w:tcW w:type="dxa" w:w="8208"/>
          </w:tcPr>
          <w:p>
            <w:pPr>
              <w:keepNext/>
            </w:pPr>
            <w:r>
              <w:rPr>
                <w:b/>
              </w:rPr>
              <w:t>GRIP6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w:t>
            </w:r>
          </w:p>
        </w:tc>
        <w:tc>
          <w:tcPr>
            <w:tcW w:type="dxa" w:w="2592"/>
          </w:tcPr>
          <w:p>
            <w:r/>
          </w:p>
        </w:tc>
      </w:tr>
      <w:tr>
        <w:tc>
          <w:tcPr>
            <w:tcW w:type="dxa" w:w="8208"/>
          </w:tcPr>
          <w:p>
            <w:pPr>
              <w:keepNext/>
            </w:pPr>
            <w:r>
              <w:rPr>
                <w:b/>
              </w:rPr>
              <w:t>TravelPass Group / Reservation Counter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w:t>
            </w:r>
          </w:p>
        </w:tc>
        <w:tc>
          <w:tcPr>
            <w:tcW w:type="dxa" w:w="2592"/>
          </w:tcPr>
          <w:p>
            <w:r/>
          </w:p>
        </w:tc>
      </w:tr>
      <w:tr>
        <w:tc>
          <w:tcPr>
            <w:tcW w:type="dxa" w:w="8208"/>
          </w:tcPr>
          <w:p>
            <w:pPr>
              <w:keepNext/>
            </w:pPr>
            <w:r>
              <w:rPr>
                <w:b/>
              </w:rPr>
              <w:t>Intercon Inc.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p>
      <w:pPr>
        <w:pStyle w:val="ListBullet"/>
        <w:keepNext/>
        <w:spacing w:before="0" w:after="20" w:line="276" w:lineRule="auto"/>
        <w:ind w:left="259"/>
        <w:jc w:val="left"/>
      </w:pPr>
      <w:r>
        <w:rPr>
          <w:rFonts w:ascii="EB Garamond" w:hAnsi="EB Garamond"/>
          <w:b w:val="0"/>
          <w:sz w:val="21"/>
        </w:rPr>
        <w:t>Served as a technology, marketing, cultural-change, team, and thought leader while coordinating with IT, Operations, Finance, Product Development, HR, Sales, and other department heads.</w:t>
      </w:r>
    </w:p>
    <w:p>
      <w:pPr>
        <w:pStyle w:val="ListBullet"/>
        <w:spacing w:before="0" w:after="20" w:line="276" w:lineRule="auto"/>
        <w:ind w:left="259"/>
        <w:jc w:val="left"/>
      </w:pPr>
      <w:r>
        <w:rPr>
          <w:rFonts w:ascii="EB Garamond" w:hAnsi="EB Garamond"/>
          <w:b w:val="0"/>
          <w:sz w:val="21"/>
        </w:rPr>
        <w:t>Designed the company's information architecture and ERP-system flow and implemented systems to increase productivity, efficiency, transparency, and collaboration.</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w:t>
            </w:r>
          </w:p>
        </w:tc>
        <w:tc>
          <w:tcPr>
            <w:tcW w:type="dxa" w:w="2592"/>
          </w:tcPr>
          <w:p>
            <w:r/>
          </w:p>
        </w:tc>
      </w:tr>
      <w:tr>
        <w:tc>
          <w:tcPr>
            <w:tcW w:type="dxa" w:w="8208"/>
          </w:tcPr>
          <w:p>
            <w:pPr>
              <w:keepNext/>
            </w:pPr>
            <w:r>
              <w:rPr>
                <w:b/>
              </w:rPr>
              <w:t>The Infinite Agency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keepNext/>
        <w:spacing w:before="0" w:after="20" w:line="276" w:lineRule="auto"/>
        <w:ind w:left="259"/>
        <w:jc w:val="left"/>
      </w:pPr>
      <w:r>
        <w:rPr>
          <w:rFonts w:ascii="EB Garamond" w:hAnsi="EB Garamond"/>
          <w:b w:val="0"/>
          <w:sz w:val="21"/>
        </w:rPr>
        <w:t>Advised clients directly on business goals and how to allocate marketing funds across website development, SEO, email, paid search, display, mobile, remarketing, YouTube, and social media.</w:t>
      </w:r>
    </w:p>
    <w:p>
      <w:pPr>
        <w:pStyle w:val="ListBullet"/>
        <w:spacing w:before="0" w:after="20" w:line="276" w:lineRule="auto"/>
        <w:ind w:left="259"/>
        <w:jc w:val="left"/>
      </w:pPr>
      <w:r>
        <w:rPr>
          <w:rFonts w:ascii="EB Garamond" w:hAnsi="EB Garamond"/>
          <w:b w:val="0"/>
          <w:sz w:val="21"/>
        </w:rPr>
        <w:t>Developed a repeatable Google Ads account-management system designed to maintain service quality across clients regardless of spend; the system was adopted by the company.</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w:t>
            </w:r>
          </w:p>
        </w:tc>
        <w:tc>
          <w:tcPr>
            <w:tcW w:type="dxa" w:w="2592"/>
          </w:tcPr>
          <w:p>
            <w:r/>
          </w:p>
        </w:tc>
      </w:tr>
      <w:tr>
        <w:tc>
          <w:tcPr>
            <w:tcW w:type="dxa" w:w="8208"/>
          </w:tcPr>
          <w:p>
            <w:pPr>
              <w:keepNext/>
            </w:pPr>
            <w:r>
              <w:rPr>
                <w:b/>
              </w:rPr>
              <w:t>LifeSpan Fitness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1"/>
        </w:rPr>
        <w:t>Managed an eight-person e-commerce department and led paid search, outreach, lead generation, customer acquisition, website performance, and growth across the United States, Canada, and the United Kingdom.</w:t>
      </w:r>
    </w:p>
    <w:p>
      <w:pPr>
        <w:pStyle w:val="ListBullet"/>
        <w:spacing w:before="0" w:after="20" w:line="276" w:lineRule="auto"/>
        <w:ind w:left="259"/>
        <w:jc w:val="left"/>
      </w:pPr>
      <w:r>
        <w:rPr>
          <w:rFonts w:ascii="EB Garamond" w:hAnsi="EB Garamond"/>
          <w:b w:val="0"/>
          <w:sz w:val="21"/>
        </w:rPr>
        <w:t>Managed more than 150 campaigns across Google Ads/AdWords, Microsoft/Bing Ads, Yahoo Gemini, Amazon Marketing Services, search, shopping, display, video, remarketing, mobile, social, local, email, and related campaign types.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w:t>
            </w:r>
          </w:p>
        </w:tc>
        <w:tc>
          <w:tcPr>
            <w:tcW w:type="dxa" w:w="2592"/>
          </w:tcPr>
          <w:p>
            <w:r/>
          </w:p>
        </w:tc>
      </w:tr>
      <w:tr>
        <w:tc>
          <w:tcPr>
            <w:tcW w:type="dxa" w:w="8208"/>
          </w:tcPr>
          <w:p>
            <w:pPr>
              <w:keepNext/>
            </w:pPr>
            <w:r>
              <w:rPr>
                <w:b/>
              </w:rPr>
              <w:t>Bowen Law Professional Group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Used market research and business planning to help establish tax and finance departments that together contributed more than 25% of firm revenue.</w:t>
      </w:r>
    </w:p>
    <w:p>
      <w:pPr>
        <w:pStyle w:val="ListBullet"/>
        <w:keepNext/>
        <w:spacing w:before="0" w:after="20" w:line="276" w:lineRule="auto"/>
        <w:ind w:left="259"/>
        <w:jc w:val="left"/>
      </w:pPr>
      <w:r>
        <w:rPr>
          <w:rFonts w:ascii="EB Garamond" w:hAnsi="EB Garamond"/>
          <w:b w:val="0"/>
          <w:sz w:val="21"/>
        </w:rPr>
        <w:t>Developed and managed content strategy covering timing, content type, placement across blogs/mail/email/web, content focus, and personalization.</w:t>
      </w:r>
    </w:p>
    <w:p>
      <w:pPr>
        <w:pStyle w:val="ListBullet"/>
        <w:spacing w:before="0" w:after="20" w:line="276" w:lineRule="auto"/>
        <w:ind w:left="259"/>
        <w:jc w:val="left"/>
      </w:pPr>
      <w:r>
        <w:rPr>
          <w:rFonts w:ascii="EB Garamond" w:hAnsi="EB Garamond"/>
          <w:b w:val="0"/>
          <w:sz w:val="21"/>
        </w:rPr>
        <w:t>Generated and tracked prospective clients and business associates using a marketing-oriented database.</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Google Tag Manager • Google Ads API • Google Ads • Microsoft Ads • Google Analytics 4 • Google Search Console • Looker Studio • Tableau</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01-04-2004 to 06-26-2008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