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Amazon</w:t>
            </w:r>
          </w:p>
        </w:tc>
        <w:tc>
          <w:tcPr>
            <w:tcW w:type="dxa" w:w="5400"/>
          </w:tcPr>
          <w:p>
            <w:pPr>
              <w:pStyle w:val="ListBullet"/>
              <w:spacing w:after="0" w:line="276" w:lineRule="auto"/>
            </w:pPr>
            <w:r/>
            <w:r>
              <w:rPr>
                <w:rFonts w:ascii="EB Garamond" w:hAnsi="EB Garamond"/>
                <w:sz w:val="21"/>
              </w:rPr>
              <w:t>CRM</w:t>
            </w:r>
          </w:p>
        </w:tc>
      </w:tr>
      <w:tr>
        <w:tc>
          <w:tcPr>
            <w:tcW w:type="dxa" w:w="5400"/>
          </w:tcPr>
          <w:p>
            <w:pPr>
              <w:pStyle w:val="ListBullet"/>
              <w:spacing w:after="0" w:line="276" w:lineRule="auto"/>
            </w:pPr>
            <w:r/>
            <w:r>
              <w:rPr>
                <w:rFonts w:ascii="EB Garamond" w:hAnsi="EB Garamond"/>
                <w:sz w:val="21"/>
              </w:rPr>
              <w:t>automation</w:t>
            </w:r>
          </w:p>
        </w:tc>
        <w:tc>
          <w:tcPr>
            <w:tcW w:type="dxa" w:w="5400"/>
          </w:tcPr>
          <w:p>
            <w:pPr>
              <w:pStyle w:val="ListBullet"/>
              <w:spacing w:after="0" w:line="276" w:lineRule="auto"/>
            </w:pPr>
            <w:r/>
            <w:r>
              <w:rPr>
                <w:rFonts w:ascii="EB Garamond" w:hAnsi="EB Garamond"/>
                <w:sz w:val="21"/>
              </w:rPr>
              <w:t>e-commerce</w:t>
            </w:r>
          </w:p>
        </w:tc>
      </w:tr>
      <w:tr>
        <w:tc>
          <w:tcPr>
            <w:tcW w:type="dxa" w:w="5400"/>
          </w:tcPr>
          <w:p>
            <w:pPr>
              <w:pStyle w:val="ListBullet"/>
              <w:spacing w:after="0" w:line="276" w:lineRule="auto"/>
            </w:pPr>
            <w:r/>
            <w:r>
              <w:rPr>
                <w:rFonts w:ascii="EB Garamond" w:hAnsi="EB Garamond"/>
                <w:sz w:val="21"/>
              </w:rPr>
              <w:t>B2B</w:t>
            </w:r>
          </w:p>
        </w:tc>
        <w:tc>
          <w:tcPr>
            <w:tcW w:type="dxa" w:w="5400"/>
          </w:tcPr>
          <w:p>
            <w:pPr>
              <w:pStyle w:val="ListBullet"/>
              <w:spacing w:after="0" w:line="276" w:lineRule="auto"/>
            </w:pPr>
            <w:r/>
            <w:r>
              <w:rPr>
                <w:rFonts w:ascii="EB Garamond" w:hAnsi="EB Garamond"/>
                <w:sz w:val="21"/>
              </w:rPr>
              <w:t>forecasting</w:t>
            </w:r>
          </w:p>
        </w:tc>
      </w:tr>
      <w:tr>
        <w:tc>
          <w:tcPr>
            <w:tcW w:type="dxa" w:w="5400"/>
          </w:tcPr>
          <w:p>
            <w:pPr>
              <w:pStyle w:val="ListBullet"/>
              <w:spacing w:after="0" w:line="276" w:lineRule="auto"/>
            </w:pPr>
            <w:r/>
            <w:r>
              <w:rPr>
                <w:rFonts w:ascii="EB Garamond" w:hAnsi="EB Garamond"/>
                <w:sz w:val="21"/>
              </w:rPr>
              <w:t>AI</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Amazon • CRM • automation • e-commerce • B2B • forecasting • AI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