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DIGITAL MARKETING SPECIALIST | PAID SEARCH &amp; SOCIAL</w:t>
      </w:r>
    </w:p>
    <w:p>
      <w:pPr>
        <w:keepNext w:val="0"/>
        <w:spacing w:line="276" w:lineRule="auto" w:before="0" w:after="60"/>
        <w:jc w:val="center"/>
      </w:pPr>
      <w:r>
        <w:rPr>
          <w:rFonts w:ascii="Calibri" w:hAnsi="Calibri"/>
          <w:b w:val="0"/>
          <w:color w:val="525252"/>
          <w:sz w:val="19"/>
        </w:rPr>
        <w:t>Lehi, UT 84043   •   (530) 507-8269   •   mdavidcall@gmail.com   •   linkedin.com/in/mdavidcall   •   Spanish: Fluent</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Hands-on digital marketer with 14+ years of experience developing, executing, and optimizing paid search, paid social, organic content, and customer acquisition programs across B2B, B2C, and agency environments. Combines campaign strategy and creative development with conversion tracking, analytics, SEO, testing, and clear client communication. Experienced managing multiple accounts and substantial media budgets across Google, Meta, LinkedIn, TikTok, Pinterest, Snapchat, YouTube, and other platforms. Known for turning complex performance data into practical recommendations, persuasive content, and measurable business results.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Paid Search &amp; Social: </w:t>
      </w:r>
      <w:r>
        <w:rPr>
          <w:rFonts w:ascii="Calibri" w:hAnsi="Calibri"/>
          <w:b w:val="0"/>
          <w:color w:val="262626"/>
          <w:sz w:val="22"/>
        </w:rPr>
        <w:t>Google Ads, Bing Ads, Meta/Facebook/Instagram, LinkedIn, TikTok, Pinterest, Snapchat, YouTube, Twitter/X, Amazon, campaign research, setup, optimization, audience development, budgeting, and multi-account management.</w:t>
      </w:r>
    </w:p>
    <w:p>
      <w:pPr>
        <w:keepNext w:val="0"/>
        <w:spacing w:line="276" w:lineRule="auto" w:before="0" w:after="16"/>
        <w:ind w:left="144"/>
      </w:pPr>
      <w:r>
        <w:rPr>
          <w:rFonts w:ascii="Calibri" w:hAnsi="Calibri"/>
          <w:b/>
          <w:color w:val="102C57"/>
          <w:sz w:val="22"/>
        </w:rPr>
        <w:t xml:space="preserve">Measurement &amp; Optimization: </w:t>
      </w:r>
      <w:r>
        <w:rPr>
          <w:rFonts w:ascii="Calibri" w:hAnsi="Calibri"/>
          <w:b w:val="0"/>
          <w:color w:val="262626"/>
          <w:sz w:val="22"/>
        </w:rPr>
        <w:t>GA4, Google Tag Manager, conversion tracking, Adobe Analytics, Tableau, Looker Studio, Funnel.io, attribution, CRO, A/B and multivariate testing, LTV, SQL, Python, and Excel.</w:t>
      </w:r>
    </w:p>
    <w:p>
      <w:pPr>
        <w:keepNext w:val="0"/>
        <w:spacing w:line="276" w:lineRule="auto" w:before="0" w:after="16"/>
        <w:ind w:left="144"/>
      </w:pPr>
      <w:r>
        <w:rPr>
          <w:rFonts w:ascii="Calibri" w:hAnsi="Calibri"/>
          <w:b/>
          <w:color w:val="102C57"/>
          <w:sz w:val="22"/>
        </w:rPr>
        <w:t xml:space="preserve">Content, Social &amp; SEO: </w:t>
      </w:r>
      <w:r>
        <w:rPr>
          <w:rFonts w:ascii="Calibri" w:hAnsi="Calibri"/>
          <w:b w:val="0"/>
          <w:color w:val="262626"/>
          <w:sz w:val="22"/>
        </w:rPr>
        <w:t>Organic social strategy, content development and publication, copywriting, community management, Hootsuite, Buffer, SEO audits, on-page and mobile SEO, keyword research, Search Console, SEMrush, and Moz.</w:t>
      </w:r>
    </w:p>
    <w:p>
      <w:pPr>
        <w:keepNext w:val="0"/>
        <w:spacing w:line="276" w:lineRule="auto" w:before="0" w:after="16"/>
        <w:ind w:left="144"/>
      </w:pPr>
      <w:r>
        <w:rPr>
          <w:rFonts w:ascii="Calibri" w:hAnsi="Calibri"/>
          <w:b/>
          <w:color w:val="102C57"/>
          <w:sz w:val="22"/>
        </w:rPr>
        <w:t xml:space="preserve">Client &amp; Campaign Strategy: </w:t>
      </w:r>
      <w:r>
        <w:rPr>
          <w:rFonts w:ascii="Calibri" w:hAnsi="Calibri"/>
          <w:b w:val="0"/>
          <w:color w:val="262626"/>
          <w:sz w:val="22"/>
        </w:rPr>
        <w:t>B2B and B2C marketing, client consulting, relationship management, market and audience analysis, persuasive recommendations, cross-functional collaboration, project management, and executive reporting.</w:t>
      </w:r>
    </w:p>
    <w:p>
      <w:pPr>
        <w:keepNext w:val="0"/>
        <w:spacing w:line="276" w:lineRule="auto" w:before="0" w:after="24"/>
        <w:ind w:left="144"/>
      </w:pPr>
      <w:r>
        <w:rPr>
          <w:rFonts w:ascii="Calibri" w:hAnsi="Calibri"/>
          <w:b/>
          <w:color w:val="102C57"/>
          <w:sz w:val="22"/>
        </w:rPr>
        <w:t xml:space="preserve">AI &amp; Digital Tools: </w:t>
      </w:r>
      <w:r>
        <w:rPr>
          <w:rFonts w:ascii="Calibri" w:hAnsi="Calibri"/>
          <w:b w:val="0"/>
          <w:color w:val="262626"/>
          <w:sz w:val="22"/>
        </w:rPr>
        <w:t>ChatGPT, Claude, Perplexity, Codex, Cursor, AntiGravity, generative-AI research and workflow support, WordPress, Shopify, Magento, HTML5, CSS3, JavaScript, APIs, and marketing automation.</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w:t>
            </w:r>
            <w:r>
              <w:rPr>
                <w:rFonts w:ascii="Calibri" w:hAnsi="Calibri"/>
                <w:b w:val="0"/>
                <w:color w:val="525252"/>
                <w:sz w:val="22"/>
              </w:rPr>
              <w:t xml:space="preserve"> | </w:t>
            </w:r>
            <w:r>
              <w:rPr>
                <w:rFonts w:ascii="Calibri" w:hAnsi="Calibri"/>
                <w:b/>
                <w:color w:val="262626"/>
                <w:sz w:val="22"/>
              </w:rPr>
              <w:t>1-800 Contacts — Draper,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Portfolio &amp; Team Leadership: </w:t>
      </w:r>
      <w:r>
        <w:rPr>
          <w:rFonts w:ascii="Calibri" w:hAnsi="Calibri"/>
          <w:b w:val="0"/>
          <w:color w:val="262626"/>
          <w:sz w:val="22"/>
        </w:rPr>
        <w:t>Managed $30 million per month with a team of four, using customer, channel, and financial analysis to guide investment and acquisition decisions.</w:t>
      </w:r>
    </w:p>
    <w:p>
      <w:pPr>
        <w:pStyle w:val="ListBullet"/>
        <w:spacing w:line="276" w:lineRule="auto" w:before="0" w:after="4"/>
        <w:ind w:left="259" w:hanging="29"/>
      </w:pPr>
      <w:r>
        <w:rPr>
          <w:rFonts w:ascii="Calibri" w:hAnsi="Calibri"/>
          <w:b/>
          <w:sz w:val="22"/>
        </w:rPr>
        <w:t xml:space="preserve">Paid Media Optimization: </w:t>
      </w:r>
      <w:r>
        <w:rPr>
          <w:rFonts w:ascii="Calibri" w:hAnsi="Calibri"/>
          <w:b w:val="0"/>
          <w:color w:val="262626"/>
          <w:sz w:val="22"/>
        </w:rPr>
        <w:t>Analyzed paid-search strategy, bidding, audiences, brand and non-brand performance, promotions, and Performance Max within a large customer-acquisition portfolio.</w:t>
      </w:r>
    </w:p>
    <w:p>
      <w:pPr>
        <w:pStyle w:val="ListBullet"/>
        <w:spacing w:line="276" w:lineRule="auto" w:before="0" w:after="4"/>
        <w:ind w:left="259" w:hanging="29"/>
      </w:pPr>
      <w:r>
        <w:rPr>
          <w:rFonts w:ascii="Calibri" w:hAnsi="Calibri"/>
          <w:b/>
          <w:sz w:val="22"/>
        </w:rPr>
        <w:t xml:space="preserve">Conversion Measurement: </w:t>
      </w:r>
      <w:r>
        <w:rPr>
          <w:rFonts w:ascii="Calibri" w:hAnsi="Calibri"/>
          <w:b w:val="0"/>
          <w:color w:val="262626"/>
          <w:sz w:val="22"/>
        </w:rPr>
        <w:t>Evaluated data-driven attribution, lifetime value, click-to-call activity, holdouts, and full-funnel reach-to-conversion tests to improve decisions.</w:t>
      </w:r>
    </w:p>
    <w:p>
      <w:pPr>
        <w:pStyle w:val="ListBullet"/>
        <w:spacing w:line="276" w:lineRule="auto" w:before="0" w:after="4"/>
        <w:ind w:left="259" w:hanging="29"/>
      </w:pPr>
      <w:r>
        <w:rPr>
          <w:rFonts w:ascii="Calibri" w:hAnsi="Calibri"/>
          <w:b/>
          <w:sz w:val="22"/>
        </w:rPr>
        <w:t xml:space="preserve">Automated Reporting: </w:t>
      </w:r>
      <w:r>
        <w:rPr>
          <w:rFonts w:ascii="Calibri" w:hAnsi="Calibri"/>
          <w:b w:val="0"/>
          <w:color w:val="262626"/>
          <w:sz w:val="22"/>
        </w:rPr>
        <w:t>Used Python, SQL, Databricks, Excel, Funnel.io, and Tableau to automate accurate weekly reporting across more than 10 marketing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w:t>
            </w:r>
            <w:r>
              <w:rPr>
                <w:rFonts w:ascii="Calibri" w:hAnsi="Calibri"/>
                <w:b w:val="0"/>
                <w:color w:val="525252"/>
                <w:sz w:val="22"/>
              </w:rPr>
              <w:t xml:space="preserve"> | </w:t>
            </w:r>
            <w:r>
              <w:rPr>
                <w:rFonts w:ascii="Calibri" w:hAnsi="Calibri"/>
                <w:b/>
                <w:color w:val="262626"/>
                <w:sz w:val="22"/>
              </w:rPr>
              <w:t>GRIP6 — Midvale,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Cross-Platform Campaigns: </w:t>
      </w:r>
      <w:r>
        <w:rPr>
          <w:rFonts w:ascii="Calibri" w:hAnsi="Calibri"/>
          <w:b w:val="0"/>
          <w:color w:val="262626"/>
          <w:sz w:val="22"/>
        </w:rPr>
        <w:t>Managed Google, Bing, Amazon, Facebook, Instagram, and TikTok advertising across a $400K monthly budget.</w:t>
      </w:r>
    </w:p>
    <w:p>
      <w:pPr>
        <w:pStyle w:val="ListBullet"/>
        <w:spacing w:line="276" w:lineRule="auto" w:before="0" w:after="4"/>
        <w:ind w:left="259" w:hanging="29"/>
      </w:pPr>
      <w:r>
        <w:rPr>
          <w:rFonts w:ascii="Calibri" w:hAnsi="Calibri"/>
          <w:b/>
          <w:sz w:val="22"/>
        </w:rPr>
        <w:t xml:space="preserve">Measurable Growth: </w:t>
      </w:r>
      <w:r>
        <w:rPr>
          <w:rFonts w:ascii="Calibri" w:hAnsi="Calibri"/>
          <w:b w:val="0"/>
          <w:color w:val="262626"/>
          <w:sz w:val="22"/>
        </w:rPr>
        <w:t>Increased monthly volume from $200K to $800K while improving ROAS from 1.5 to 3.5 through hands-on analysis and optimization.</w:t>
      </w:r>
    </w:p>
    <w:p>
      <w:pPr>
        <w:pStyle w:val="ListBullet"/>
        <w:spacing w:line="276" w:lineRule="auto" w:before="0" w:after="4"/>
        <w:ind w:left="259" w:hanging="29"/>
      </w:pPr>
      <w:r>
        <w:rPr>
          <w:rFonts w:ascii="Calibri" w:hAnsi="Calibri"/>
          <w:b/>
          <w:sz w:val="22"/>
        </w:rPr>
        <w:t xml:space="preserve">Tracking &amp; Analytics: </w:t>
      </w:r>
      <w:r>
        <w:rPr>
          <w:rFonts w:ascii="Calibri" w:hAnsi="Calibri"/>
          <w:b w:val="0"/>
          <w:color w:val="262626"/>
          <w:sz w:val="22"/>
        </w:rPr>
        <w:t>Implemented custom GA4 and Google Tag Manager reporting and built Looker Studio dashboards to connect marketing performance with operating priorities.</w:t>
      </w:r>
    </w:p>
    <w:p>
      <w:pPr>
        <w:pStyle w:val="ListBullet"/>
        <w:spacing w:line="276" w:lineRule="auto" w:before="0" w:after="4"/>
        <w:ind w:left="259" w:hanging="29"/>
      </w:pPr>
      <w:r>
        <w:rPr>
          <w:rFonts w:ascii="Calibri" w:hAnsi="Calibri"/>
          <w:b/>
          <w:sz w:val="22"/>
        </w:rPr>
        <w:t xml:space="preserve">Integrated Digital Strategy: </w:t>
      </w:r>
      <w:r>
        <w:rPr>
          <w:rFonts w:ascii="Calibri" w:hAnsi="Calibri"/>
          <w:b w:val="0"/>
          <w:color w:val="262626"/>
          <w:sz w:val="22"/>
        </w:rPr>
        <w:t>Guided SEO, website optimization, email effectiveness, content, and cross-platform budget decisions in collaboration with creative, technical, and leadership teams.</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&amp; Marketing</w:t>
            </w:r>
            <w:r>
              <w:rPr>
                <w:rFonts w:ascii="Calibri" w:hAnsi="Calibri"/>
                <w:b w:val="0"/>
                <w:color w:val="525252"/>
                <w:sz w:val="22"/>
              </w:rPr>
              <w:t xml:space="preserve"> | </w:t>
            </w:r>
            <w:r>
              <w:rPr>
                <w:rFonts w:ascii="Calibri" w:hAnsi="Calibri"/>
                <w:b/>
                <w:color w:val="262626"/>
                <w:sz w:val="22"/>
              </w:rPr>
              <w:t>Intercon Inc. — Salt Lake City, UT</w:t>
            </w:r>
          </w:p>
        </w:tc>
        <w:tc>
          <w:tcPr>
            <w:tcW w:type="dxa" w:w="2232"/>
            <w:vAlign w:val="center"/>
            <w:tcMar>
              <w:top w:w="0" w:type="dxa"/>
              <w:bottom w:w="0" w:type="dxa"/>
              <w:left w:w="0" w:type="dxa"/>
              <w:right w:w="0" w:type="dxa"/>
            </w:tcMar>
          </w:tcPr>
          <w:p>
            <w:pPr>
              <w:keepNext/>
              <w:spacing w:before="0" w:after="10"/>
            </w:pPr>
          </w:p>
        </w:tc>
      </w:tr>
    </w:tbl>
    <w:p>
      <w:pPr>
        <w:pStyle w:val="ListBullet"/>
        <w:spacing w:line="276" w:lineRule="auto" w:before="0" w:after="4"/>
        <w:ind w:left="259" w:hanging="29"/>
      </w:pPr>
      <w:r>
        <w:rPr>
          <w:rFonts w:ascii="Calibri" w:hAnsi="Calibri"/>
          <w:b/>
          <w:sz w:val="22"/>
        </w:rPr>
        <w:t xml:space="preserve">B2B and B2C Growth: </w:t>
      </w:r>
      <w:r>
        <w:rPr>
          <w:rFonts w:ascii="Calibri" w:hAnsi="Calibri"/>
          <w:b w:val="0"/>
          <w:color w:val="262626"/>
          <w:sz w:val="22"/>
        </w:rPr>
        <w:t>Led ecommerce and marketing for a large B2B distributor, built a functional digital environment, and expanded into B2C platforms while supporting 650+ retail partners.</w:t>
      </w:r>
    </w:p>
    <w:p>
      <w:pPr>
        <w:pStyle w:val="ListBullet"/>
        <w:spacing w:line="276" w:lineRule="auto" w:before="0" w:after="4"/>
        <w:ind w:left="259" w:hanging="29"/>
      </w:pPr>
      <w:r>
        <w:rPr>
          <w:rFonts w:ascii="Calibri" w:hAnsi="Calibri"/>
          <w:b/>
          <w:sz w:val="22"/>
        </w:rPr>
        <w:t xml:space="preserve">Audience &amp; Market Development: </w:t>
      </w:r>
      <w:r>
        <w:rPr>
          <w:rFonts w:ascii="Calibri" w:hAnsi="Calibri"/>
          <w:b w:val="0"/>
          <w:color w:val="262626"/>
          <w:sz w:val="22"/>
        </w:rPr>
        <w:t>Used daily financial and market analysis to identify niches, guide product development, and assess new channels and customer opportunities.</w:t>
      </w:r>
    </w:p>
    <w:p>
      <w:pPr>
        <w:pStyle w:val="ListBullet"/>
        <w:spacing w:line="276" w:lineRule="auto" w:before="0" w:after="4"/>
        <w:ind w:left="259" w:hanging="29"/>
      </w:pPr>
      <w:r>
        <w:rPr>
          <w:rFonts w:ascii="Calibri" w:hAnsi="Calibri"/>
          <w:b/>
          <w:sz w:val="22"/>
        </w:rPr>
        <w:t xml:space="preserve">Digital Expansion: </w:t>
      </w:r>
      <w:r>
        <w:rPr>
          <w:rFonts w:ascii="Calibri" w:hAnsi="Calibri"/>
          <w:b w:val="0"/>
          <w:color w:val="262626"/>
          <w:sz w:val="22"/>
        </w:rPr>
        <w:t>Expanded Amazon operations into CastleGate, Target.com, Costco.com, and other platforms while improving product data and digital merchandising.</w:t>
      </w:r>
    </w:p>
    <w:p>
      <w:pPr>
        <w:pStyle w:val="ListBullet"/>
        <w:spacing w:line="276" w:lineRule="auto" w:before="0" w:after="4"/>
        <w:ind w:left="259" w:hanging="29"/>
      </w:pPr>
      <w:r>
        <w:rPr>
          <w:rFonts w:ascii="Calibri" w:hAnsi="Calibri"/>
          <w:b/>
          <w:sz w:val="22"/>
        </w:rPr>
        <w:t xml:space="preserve">Cross-Functional Communication: </w:t>
      </w:r>
      <w:r>
        <w:rPr>
          <w:rFonts w:ascii="Calibri" w:hAnsi="Calibri"/>
          <w:b w:val="0"/>
          <w:color w:val="262626"/>
          <w:sz w:val="22"/>
        </w:rPr>
        <w:t>Worked with IT, operations, finance, product development, HR, and sales leaders to implement technology, process, and operating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w:t>
            </w:r>
            <w:r>
              <w:rPr>
                <w:rFonts w:ascii="Calibri" w:hAnsi="Calibri"/>
                <w:b w:val="0"/>
                <w:color w:val="525252"/>
                <w:sz w:val="22"/>
              </w:rPr>
              <w:t xml:space="preserve"> | </w:t>
            </w:r>
            <w:r>
              <w:rPr>
                <w:rFonts w:ascii="Calibri" w:hAnsi="Calibri"/>
                <w:b/>
                <w:color w:val="262626"/>
                <w:sz w:val="22"/>
              </w:rPr>
              <w:t>The Infinite Agency — Dallas, TX</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Multi-Client Strategy: </w:t>
      </w:r>
      <w:r>
        <w:rPr>
          <w:rFonts w:ascii="Calibri" w:hAnsi="Calibri"/>
          <w:b w:val="0"/>
          <w:color w:val="262626"/>
          <w:sz w:val="22"/>
        </w:rPr>
        <w:t>Advised clients on websites, SEO, email, paid search, display, mobile, remarketing, YouTube, and social based on business objectives, audiences, and budgets.</w:t>
      </w:r>
    </w:p>
    <w:p>
      <w:pPr>
        <w:pStyle w:val="ListBullet"/>
        <w:spacing w:line="276" w:lineRule="auto" w:before="0" w:after="4"/>
        <w:ind w:left="259" w:hanging="29"/>
      </w:pPr>
      <w:r>
        <w:rPr>
          <w:rFonts w:ascii="Calibri" w:hAnsi="Calibri"/>
          <w:b/>
          <w:sz w:val="22"/>
        </w:rPr>
        <w:t xml:space="preserve">Hands-On Account Scale: </w:t>
      </w:r>
      <w:r>
        <w:rPr>
          <w:rFonts w:ascii="Calibri" w:hAnsi="Calibri"/>
          <w:b w:val="0"/>
          <w:color w:val="262626"/>
          <w:sz w:val="22"/>
        </w:rPr>
        <w:t>Built and managed 75+ Google Ads accounts totaling more than $276K per month while maintaining an agency-wide service-quality system.</w:t>
      </w:r>
    </w:p>
    <w:p>
      <w:pPr>
        <w:pStyle w:val="ListBullet"/>
        <w:spacing w:line="276" w:lineRule="auto" w:before="0" w:after="4"/>
        <w:ind w:left="259" w:hanging="29"/>
      </w:pPr>
      <w:r>
        <w:rPr>
          <w:rFonts w:ascii="Calibri" w:hAnsi="Calibri"/>
          <w:b/>
          <w:sz w:val="22"/>
        </w:rPr>
        <w:t xml:space="preserve">Audits &amp; Recommendations: </w:t>
      </w:r>
      <w:r>
        <w:rPr>
          <w:rFonts w:ascii="Calibri" w:hAnsi="Calibri"/>
          <w:b w:val="0"/>
          <w:color w:val="262626"/>
          <w:sz w:val="22"/>
        </w:rPr>
        <w:t>Analyzed campaign and site performance, presented strategic recommendations, and developed conversion and attribution models to improve client results.</w:t>
      </w:r>
    </w:p>
    <w:p>
      <w:pPr>
        <w:pStyle w:val="ListBullet"/>
        <w:spacing w:line="276" w:lineRule="auto" w:before="0" w:after="4"/>
        <w:ind w:left="259" w:hanging="29"/>
      </w:pPr>
      <w:r>
        <w:rPr>
          <w:rFonts w:ascii="Calibri" w:hAnsi="Calibri"/>
          <w:b/>
          <w:sz w:val="22"/>
        </w:rPr>
        <w:t xml:space="preserve">Testing &amp; Automation: </w:t>
      </w:r>
      <w:r>
        <w:rPr>
          <w:rFonts w:ascii="Calibri" w:hAnsi="Calibri"/>
          <w:b w:val="0"/>
          <w:color w:val="262626"/>
          <w:sz w:val="22"/>
        </w:rPr>
        <w:t>Designed multivariate tests and custom scripts for campaign monitoring, budget oversight, and faster identification of performance issues.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w:t>
            </w:r>
            <w:r>
              <w:rPr>
                <w:rFonts w:ascii="Calibri" w:hAnsi="Calibri"/>
                <w:b w:val="0"/>
                <w:color w:val="525252"/>
                <w:sz w:val="22"/>
              </w:rPr>
              <w:t xml:space="preserve"> | </w:t>
            </w:r>
            <w:r>
              <w:rPr>
                <w:rFonts w:ascii="Calibri" w:hAnsi="Calibri"/>
                <w:b/>
                <w:color w:val="262626"/>
                <w:sz w:val="22"/>
              </w:rPr>
              <w:t>LifeSpan Fitness — Salt Lake City,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Team &amp; Market Leadership: </w:t>
      </w:r>
      <w:r>
        <w:rPr>
          <w:rFonts w:ascii="Calibri" w:hAnsi="Calibri"/>
          <w:b w:val="0"/>
          <w:color w:val="262626"/>
          <w:sz w:val="22"/>
        </w:rPr>
        <w:t>Led an eight-person ecommerce team responsible for paid search, outreach, lead generation, and customer acquisition in the United States, Canada, and the UK.</w:t>
      </w:r>
    </w:p>
    <w:p>
      <w:pPr>
        <w:pStyle w:val="ListBullet"/>
        <w:spacing w:line="276" w:lineRule="auto" w:before="0" w:after="4"/>
        <w:ind w:left="259" w:hanging="29"/>
      </w:pPr>
      <w:r>
        <w:rPr>
          <w:rFonts w:ascii="Calibri" w:hAnsi="Calibri"/>
          <w:b/>
          <w:sz w:val="22"/>
        </w:rPr>
        <w:t xml:space="preserve">Revenue Impact: </w:t>
      </w:r>
      <w:r>
        <w:rPr>
          <w:rFonts w:ascii="Calibri" w:hAnsi="Calibri"/>
          <w:b w:val="0"/>
          <w:color w:val="262626"/>
          <w:sz w:val="22"/>
        </w:rPr>
        <w:t>Managed 150+ campaigns and a $400K budget across Google, Bing, Gemini, and Amazon, producing more than $9M in revenue—35% of company revenue.</w:t>
      </w:r>
    </w:p>
    <w:p>
      <w:pPr>
        <w:pStyle w:val="ListBullet"/>
        <w:spacing w:line="276" w:lineRule="auto" w:before="0" w:after="4"/>
        <w:ind w:left="259" w:hanging="29"/>
      </w:pPr>
      <w:r>
        <w:rPr>
          <w:rFonts w:ascii="Calibri" w:hAnsi="Calibri"/>
          <w:b/>
          <w:sz w:val="22"/>
        </w:rPr>
        <w:t xml:space="preserve">Campaign &amp; Content Execution: </w:t>
      </w:r>
      <w:r>
        <w:rPr>
          <w:rFonts w:ascii="Calibri" w:hAnsi="Calibri"/>
          <w:b w:val="0"/>
          <w:color w:val="262626"/>
          <w:sz w:val="22"/>
        </w:rPr>
        <w:t>Performed keyword, audience, and competitive research; created search and display copy and creative; and managed email, shopping, video, social, local, and remarketing programs.</w:t>
      </w:r>
    </w:p>
    <w:p>
      <w:pPr>
        <w:pStyle w:val="ListBullet"/>
        <w:spacing w:line="276" w:lineRule="auto" w:before="0" w:after="4"/>
        <w:ind w:left="259" w:hanging="29"/>
      </w:pPr>
      <w:r>
        <w:rPr>
          <w:rFonts w:ascii="Calibri" w:hAnsi="Calibri"/>
          <w:b/>
          <w:sz w:val="22"/>
        </w:rPr>
        <w:t xml:space="preserve">Conversion Optimization: </w:t>
      </w:r>
      <w:r>
        <w:rPr>
          <w:rFonts w:ascii="Calibri" w:hAnsi="Calibri"/>
          <w:b w:val="0"/>
          <w:color w:val="262626"/>
          <w:sz w:val="22"/>
        </w:rPr>
        <w:t>Analyzed funnels and conversion paths, optimized landing pages, and ran A/B and multivariate tests to improve acquisition performance.</w:t>
      </w:r>
    </w:p>
    <w:p>
      <w:pPr>
        <w:pStyle w:val="ListBullet"/>
        <w:spacing w:line="276" w:lineRule="auto" w:before="0" w:after="4"/>
        <w:ind w:left="259" w:hanging="29"/>
      </w:pPr>
      <w:r>
        <w:rPr>
          <w:rFonts w:ascii="Calibri" w:hAnsi="Calibri"/>
          <w:b/>
          <w:sz w:val="22"/>
        </w:rPr>
        <w:t xml:space="preserve">Measurement &amp; Reporting: </w:t>
      </w:r>
      <w:r>
        <w:rPr>
          <w:rFonts w:ascii="Calibri" w:hAnsi="Calibri"/>
          <w:b w:val="0"/>
          <w:color w:val="262626"/>
          <w:sz w:val="22"/>
        </w:rPr>
        <w:t>Established goals, projections, and KPIs with senior management and reported performance using Google Analytics, Magento, ACCTivate, and QuickBooks.</w:t>
      </w:r>
    </w:p>
    <w:p>
      <w:pPr>
        <w:keepNext/>
        <w:spacing w:line="276" w:lineRule="auto" w:before="30" w:after="30"/>
        <w:pBdr>
          <w:bottom w:val="single" w:sz="6" w:space="1" w:color="102C57"/>
        </w:pBdr>
      </w:pPr>
      <w:r>
        <w:rPr>
          <w:rFonts w:ascii="Calibri" w:hAnsi="Calibri"/>
          <w:b/>
          <w:color w:val="102C57"/>
          <w:sz w:val="22"/>
        </w:rPr>
        <w:t>EDUCATION, LANGUAGES &amp; CERTIFICATIONS</w:t>
      </w:r>
    </w:p>
    <w:p>
      <w:pPr>
        <w:keepNext w:val="0"/>
        <w:spacing w:line="276" w:lineRule="auto" w:before="0" w:after="12"/>
      </w:pPr>
      <w:r>
        <w:rPr>
          <w:rFonts w:ascii="Calibri" w:hAnsi="Calibri"/>
          <w:b/>
          <w:color w:val="262626"/>
          <w:sz w:val="22"/>
        </w:rPr>
        <w:t>Brigham Young University — Bachelor of Science in Business Management (2008)</w:t>
      </w:r>
      <w:r>
        <w:rPr>
          <w:rFonts w:ascii="Calibri" w:hAnsi="Calibri"/>
          <w:b w:val="0"/>
          <w:color w:val="525252"/>
          <w:sz w:val="22"/>
        </w:rPr>
        <w:t xml:space="preserve">  |  Entrepreneur of the Year team; Regional Business Plan Competition winner, two consecutive years</w:t>
      </w:r>
    </w:p>
    <w:p>
      <w:pPr>
        <w:keepNext w:val="0"/>
        <w:spacing w:line="276" w:lineRule="auto" w:before="0" w:after="12"/>
      </w:pPr>
      <w:r>
        <w:rPr>
          <w:rFonts w:ascii="Calibri" w:hAnsi="Calibri"/>
          <w:b/>
          <w:color w:val="102C57"/>
          <w:sz w:val="22"/>
        </w:rPr>
        <w:t xml:space="preserve">Languages: </w:t>
      </w:r>
      <w:r>
        <w:rPr>
          <w:rFonts w:ascii="Calibri" w:hAnsi="Calibri"/>
          <w:b w:val="0"/>
          <w:color w:val="262626"/>
          <w:sz w:val="22"/>
        </w:rPr>
        <w:t>English (Native)  •  Spanish (Fluent)</w:t>
      </w:r>
    </w:p>
    <w:p>
      <w:pPr>
        <w:keepNext w:val="0"/>
        <w:spacing w:line="276" w:lineRule="auto" w:before="0" w:after="0"/>
      </w:pPr>
      <w:r>
        <w:rPr>
          <w:rFonts w:ascii="Calibri" w:hAnsi="Calibri"/>
          <w:b/>
          <w:color w:val="102C57"/>
          <w:sz w:val="22"/>
        </w:rPr>
        <w:t xml:space="preserve">Certifications: </w:t>
      </w:r>
      <w:r>
        <w:rPr>
          <w:rFonts w:ascii="Calibri" w:hAnsi="Calibri"/>
          <w:b w:val="0"/>
          <w:color w:val="262626"/>
          <w:sz w:val="22"/>
        </w:rPr>
        <w:t>Google Ads  •  Google Analytics  •  Facebook Blueprint  •  Bing Ads  •  Amazon Marketing Services</w:t>
      </w:r>
    </w:p>
    <w:sectPr w:rsidR="00FC693F" w:rsidRPr="0006063C" w:rsidSect="00034616">
      <w:pgSz w:w="12240" w:h="15840"/>
      <w:pgMar w:top="490" w:right="691" w:bottom="490"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