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Amazon</w:t>
            </w:r>
          </w:p>
        </w:tc>
        <w:tc>
          <w:tcPr>
            <w:tcW w:type="dxa" w:w="5400"/>
          </w:tcPr>
          <w:p>
            <w:pPr>
              <w:pStyle w:val="ListBullet"/>
              <w:spacing w:after="0" w:line="276" w:lineRule="auto"/>
            </w:pPr>
            <w:r/>
            <w:r>
              <w:rPr>
                <w:rFonts w:ascii="EB Garamond" w:hAnsi="EB Garamond"/>
                <w:sz w:val="21"/>
              </w:rPr>
              <w:t>email</w:t>
            </w:r>
          </w:p>
        </w:tc>
      </w:tr>
      <w:tr>
        <w:tc>
          <w:tcPr>
            <w:tcW w:type="dxa" w:w="5400"/>
          </w:tcPr>
          <w:p>
            <w:pPr>
              <w:pStyle w:val="ListBullet"/>
              <w:spacing w:after="0" w:line="276" w:lineRule="auto"/>
            </w:pPr>
            <w:r/>
            <w:r>
              <w:rPr>
                <w:rFonts w:ascii="EB Garamond" w:hAnsi="EB Garamond"/>
                <w:sz w:val="21"/>
              </w:rPr>
              <w:t>social media</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Amazon • email • social media</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