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Attribution Modeling</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Budget Forecasting</w:t>
            </w:r>
          </w:p>
        </w:tc>
      </w:tr>
      <w:tr>
        <w:tc>
          <w:tcPr>
            <w:tcW w:type="dxa" w:w="5400"/>
          </w:tcPr>
          <w:p>
            <w:pPr>
              <w:pStyle w:val="ListBullet"/>
              <w:spacing w:after="0" w:line="276" w:lineRule="auto"/>
            </w:pPr>
            <w:r/>
            <w:r>
              <w:rPr>
                <w:rFonts w:ascii="EB Garamond" w:hAnsi="EB Garamond"/>
                <w:sz w:val="21"/>
              </w:rPr>
              <w:t>SEO &amp; SEM Strategy</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Customer Acquisition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Marketing Analytics</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Excel • Google Ads API • Google Ads • Microsoft Ads • Google Tag Manager • Google Search Console • Google Ads Editor • Bing Ads Editor • Meta Ads • Amazon Seller Central • Amazon Vendor Central • VS Code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