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Attribution Modeling</w:t>
            </w:r>
          </w:p>
        </w:tc>
      </w:tr>
      <w:tr>
        <w:tc>
          <w:tcPr>
            <w:tcW w:type="dxa" w:w="5400"/>
          </w:tcPr>
          <w:p>
            <w:pPr>
              <w:pStyle w:val="ListBullet"/>
              <w:spacing w:after="0" w:line="276" w:lineRule="auto"/>
            </w:pPr>
            <w:r/>
            <w:r>
              <w:rPr>
                <w:rFonts w:ascii="EB Garamond" w:hAnsi="EB Garamond"/>
                <w:sz w:val="21"/>
              </w:rPr>
              <w:t>A/B &amp; Multivariate Testing</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Customer Acquisition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Meta Ads • Google Ads • Microsoft Ads • Google Analytics 4 • Google Tag Manager • Google Ads Editor • Bing Ads Editor • Amazon Seller Central • Amazon Vendor Central • Google Ads API • VS Code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