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content</w:t>
            </w:r>
          </w:p>
        </w:tc>
        <w:tc>
          <w:tcPr>
            <w:tcW w:type="dxa" w:w="5400"/>
          </w:tcPr>
          <w:p>
            <w:pPr>
              <w:pStyle w:val="ListBullet"/>
              <w:spacing w:after="0" w:line="276" w:lineRule="auto"/>
            </w:pPr>
            <w:r/>
            <w:r>
              <w:rPr>
                <w:rFonts w:ascii="EB Garamond" w:hAnsi="EB Garamond"/>
                <w:sz w:val="21"/>
              </w:rPr>
              <w:t>management</w:t>
            </w:r>
          </w:p>
        </w:tc>
      </w:tr>
      <w:tr>
        <w:tc>
          <w:tcPr>
            <w:tcW w:type="dxa" w:w="5400"/>
          </w:tcPr>
          <w:p>
            <w:pPr>
              <w:pStyle w:val="ListBullet"/>
              <w:spacing w:after="0" w:line="276" w:lineRule="auto"/>
            </w:pPr>
            <w:r/>
            <w:r>
              <w:rPr>
                <w:rFonts w:ascii="EB Garamond" w:hAnsi="EB Garamond"/>
                <w:sz w:val="21"/>
              </w:rPr>
              <w:t>social media</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12 accounts, 32 campaigns, approximately 110,000 ad groups, and 1.6 million keywords with approximately $3.6 million in monthly spend for a single brand.</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content • management • social media</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