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content</w:t>
            </w:r>
          </w:p>
        </w:tc>
        <w:tc>
          <w:tcPr>
            <w:tcW w:type="dxa" w:w="5400"/>
          </w:tcPr>
          <w:p>
            <w:pPr>
              <w:pStyle w:val="ListBullet"/>
              <w:spacing w:after="0" w:line="276" w:lineRule="auto"/>
            </w:pPr>
            <w:r/>
            <w:r>
              <w:rPr>
                <w:rFonts w:ascii="EB Garamond" w:hAnsi="EB Garamond"/>
                <w:sz w:val="21"/>
              </w:rPr>
              <w:t>reporting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12 accounts, 32 campaigns, approximately 110,000 ad groups, and 1.6 million keywords with approximately $3.6 million in monthly spend for a single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content • reporting</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