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Campaign Optimization</w:t>
            </w:r>
          </w:p>
        </w:tc>
        <w:tc>
          <w:tcPr>
            <w:tcW w:type="dxa" w:w="5400"/>
          </w:tcPr>
          <w:p>
            <w:pPr>
              <w:pStyle w:val="ListBullet"/>
              <w:spacing w:after="0" w:line="276" w:lineRule="auto"/>
            </w:pPr>
            <w:r/>
            <w:r>
              <w:rPr>
                <w:rFonts w:ascii="EB Garamond" w:hAnsi="EB Garamond"/>
                <w:sz w:val="21"/>
              </w:rPr>
              <w:t>Cross-Functional Leadership</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Marketing Technology</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Conversion Rate Optimization</w:t>
            </w:r>
          </w:p>
        </w:tc>
      </w:tr>
      <w:tr>
        <w:tc>
          <w:tcPr>
            <w:tcW w:type="dxa" w:w="5400"/>
          </w:tcPr>
          <w:p>
            <w:pPr>
              <w:pStyle w:val="ListBullet"/>
              <w:spacing w:after="0" w:line="276" w:lineRule="auto"/>
            </w:pPr>
            <w:r/>
            <w:r>
              <w:rPr>
                <w:rFonts w:ascii="EB Garamond" w:hAnsi="EB Garamond"/>
                <w:sz w:val="21"/>
              </w:rPr>
              <w:t>Customer Acquisition</w:t>
            </w:r>
          </w:p>
        </w:tc>
        <w:tc>
          <w:tcPr>
            <w:tcW w:type="dxa" w:w="5400"/>
          </w:tcPr>
          <w:p>
            <w:pPr>
              <w:pStyle w:val="ListBullet"/>
              <w:spacing w:after="0" w:line="276" w:lineRule="auto"/>
            </w:pPr>
            <w:r/>
            <w:r>
              <w:rPr>
                <w:rFonts w:ascii="EB Garamond" w:hAnsi="EB Garamond"/>
                <w:sz w:val="21"/>
              </w:rPr>
              <w:t>Lead Generation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Microsoft Ads • Google Analytics 4 • Google Tag Manager • Power BI • Google Ads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