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Digital Marketing Strategy</w:t>
            </w:r>
          </w:p>
        </w:tc>
        <w:tc>
          <w:tcPr>
            <w:tcW w:type="dxa" w:w="5400"/>
          </w:tcPr>
          <w:p>
            <w:pPr>
              <w:pStyle w:val="ListBullet"/>
              <w:spacing w:after="0" w:line="276" w:lineRule="auto"/>
            </w:pPr>
            <w:r/>
            <w:r>
              <w:rPr>
                <w:rFonts w:ascii="EB Garamond" w:hAnsi="EB Garamond"/>
                <w:sz w:val="21"/>
              </w:rPr>
              <w:t>Performance Marketing</w:t>
            </w:r>
          </w:p>
        </w:tc>
      </w:tr>
      <w:tr>
        <w:tc>
          <w:tcPr>
            <w:tcW w:type="dxa" w:w="5400"/>
          </w:tcPr>
          <w:p>
            <w:pPr>
              <w:pStyle w:val="ListBullet"/>
              <w:spacing w:after="0" w:line="276" w:lineRule="auto"/>
            </w:pPr>
            <w:r/>
            <w:r>
              <w:rPr>
                <w:rFonts w:ascii="EB Garamond" w:hAnsi="EB Garamond"/>
                <w:sz w:val="21"/>
              </w:rPr>
              <w:t>Marketing Analytics</w:t>
            </w:r>
          </w:p>
        </w:tc>
        <w:tc>
          <w:tcPr>
            <w:tcW w:type="dxa" w:w="5400"/>
          </w:tcPr>
          <w:p>
            <w:pPr>
              <w:pStyle w:val="ListBullet"/>
              <w:spacing w:after="0" w:line="276" w:lineRule="auto"/>
            </w:pPr>
            <w:r/>
            <w:r>
              <w:rPr>
                <w:rFonts w:ascii="EB Garamond" w:hAnsi="EB Garamond"/>
                <w:sz w:val="21"/>
              </w:rPr>
              <w:t>Marketing Automation</w:t>
            </w:r>
          </w:p>
        </w:tc>
      </w:tr>
      <w:tr>
        <w:tc>
          <w:tcPr>
            <w:tcW w:type="dxa" w:w="5400"/>
          </w:tcPr>
          <w:p>
            <w:pPr>
              <w:pStyle w:val="ListBullet"/>
              <w:spacing w:after="0" w:line="276" w:lineRule="auto"/>
            </w:pPr>
            <w:r/>
            <w:r>
              <w:rPr>
                <w:rFonts w:ascii="EB Garamond" w:hAnsi="EB Garamond"/>
                <w:sz w:val="21"/>
              </w:rPr>
              <w:t>Lead Generation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150+ campaigns with approximately $400,000 in monthly spend, generating more than $9 million in revenue and approximately 35% of company sales.</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p>
      <w:pPr>
        <w:pStyle w:val="ListBulle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Worked extensively with Amazon Vendor and Seller Central using both FBA and FBM, leading to additional marketplace/consignment initiatives including CastleGate, Target.com, and Costco.com.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Set up and managed more than 75 Google Ads/AdWords accounts with more than $276,000 in combined monthly spend.</w:t>
      </w:r>
    </w:p>
    <w:p>
      <w:pPr>
        <w:pStyle w:val="ListBullet"/>
        <w:spacing w:before="0" w:after="20" w:line="276" w:lineRule="auto"/>
        <w:ind w:left="259"/>
        <w:jc w:val="left"/>
      </w:pPr>
      <w:r>
        <w:rPr>
          <w:rFonts w:ascii="EB Garamond" w:hAnsi="EB Garamond"/>
          <w:b w:val="0"/>
          <w:sz w:val="21"/>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an eight-person e-commerce department and led paid search, outreach, lead generation, customer acquisition, website performance, and growth across the United States, Canada, and the United Kingdom.</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Designed and introduced new marketing concepts using graphic-design and animation software.</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Tag Manager • Google Ads • Microsoft Ads • Google Analytics 4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