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 — GROUPED RESUME SOURCE MATERIAL</w:t>
      </w:r>
    </w:p>
    <w:p>
      <w:pPr>
        <w:spacing w:before="0" w:after="40" w:line="276" w:lineRule="auto"/>
        <w:jc w:val="center"/>
      </w:pPr>
      <w:r>
        <w:rPr>
          <w:rFonts w:ascii="EB Garamond" w:hAnsi="EB Garamond"/>
          <w:b w:val="0"/>
          <w:sz w:val="21"/>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Attribution Modeling</w:t>
            </w:r>
          </w:p>
        </w:tc>
        <w:tc>
          <w:tcPr>
            <w:tcW w:type="dxa" w:w="5400"/>
          </w:tcPr>
          <w:p>
            <w:pPr>
              <w:pStyle w:val="ListBullet"/>
              <w:spacing w:after="0" w:line="276" w:lineRule="auto"/>
            </w:pPr>
            <w:r/>
            <w:r>
              <w:rPr>
                <w:rFonts w:ascii="EB Garamond" w:hAnsi="EB Garamond"/>
                <w:sz w:val="21"/>
              </w:rPr>
              <w:t>SEO &amp; SEM Strategy</w:t>
            </w:r>
          </w:p>
        </w:tc>
      </w:tr>
      <w:tr>
        <w:tc>
          <w:tcPr>
            <w:tcW w:type="dxa" w:w="5400"/>
          </w:tcPr>
          <w:p>
            <w:pPr>
              <w:pStyle w:val="ListBullet"/>
              <w:spacing w:after="0" w:line="276" w:lineRule="auto"/>
            </w:pPr>
            <w:r/>
            <w:r>
              <w:rPr>
                <w:rFonts w:ascii="EB Garamond" w:hAnsi="EB Garamond"/>
                <w:sz w:val="21"/>
              </w:rPr>
              <w:t>B2B &amp; B2C Marketing</w:t>
            </w:r>
          </w:p>
        </w:tc>
        <w:tc>
          <w:tcPr>
            <w:tcW w:type="dxa" w:w="5400"/>
          </w:tcPr>
          <w:p>
            <w:pPr>
              <w:pStyle w:val="ListBullet"/>
              <w:spacing w:after="0" w:line="276" w:lineRule="auto"/>
            </w:pPr>
            <w:r/>
            <w:r>
              <w:rPr>
                <w:rFonts w:ascii="EB Garamond" w:hAnsi="EB Garamond"/>
                <w:sz w:val="21"/>
              </w:rPr>
              <w:t>Marketing Analytics</w:t>
            </w:r>
          </w:p>
        </w:tc>
      </w:tr>
      <w:tr>
        <w:tc>
          <w:tcPr>
            <w:tcW w:type="dxa" w:w="5400"/>
          </w:tcPr>
          <w:p>
            <w:pPr>
              <w:pStyle w:val="ListBullet"/>
              <w:spacing w:after="0" w:line="276" w:lineRule="auto"/>
            </w:pPr>
            <w:r/>
            <w:r>
              <w:rPr>
                <w:rFonts w:ascii="EB Garamond" w:hAnsi="EB Garamond"/>
                <w:sz w:val="21"/>
              </w:rPr>
              <w:t>Campaign Optimization</w:t>
            </w:r>
          </w:p>
        </w:tc>
        <w:tc>
          <w:tcPr>
            <w:tcW w:type="dxa" w:w="5400"/>
          </w:tcPr>
          <w:p>
            <w:pPr>
              <w:pStyle w:val="ListBullet"/>
              <w:spacing w:after="0" w:line="276" w:lineRule="auto"/>
            </w:pPr>
            <w:r/>
            <w:r>
              <w:rPr>
                <w:rFonts w:ascii="EB Garamond" w:hAnsi="EB Garamond"/>
                <w:sz w:val="21"/>
              </w:rPr>
              <w:t>Cross-Functional Leadership</w:t>
            </w:r>
          </w:p>
        </w:tc>
      </w:tr>
      <w:tr>
        <w:tc>
          <w:tcPr>
            <w:tcW w:type="dxa" w:w="5400"/>
          </w:tcPr>
          <w:p>
            <w:pPr>
              <w:pStyle w:val="ListBullet"/>
              <w:spacing w:after="0" w:line="276" w:lineRule="auto"/>
            </w:pPr>
            <w:r/>
            <w:r>
              <w:rPr>
                <w:rFonts w:ascii="EB Garamond" w:hAnsi="EB Garamond"/>
                <w:sz w:val="21"/>
              </w:rPr>
              <w:t>Digital Marketing Strategy</w:t>
            </w:r>
          </w:p>
        </w:tc>
        <w:tc>
          <w:tcPr>
            <w:tcW w:type="dxa" w:w="5400"/>
          </w:tcPr>
          <w:p>
            <w:pPr>
              <w:pStyle w:val="ListBullet"/>
              <w:spacing w:after="0" w:line="276" w:lineRule="auto"/>
            </w:pPr>
            <w:r/>
            <w:r>
              <w:rPr>
                <w:rFonts w:ascii="EB Garamond" w:hAnsi="EB Garamond"/>
                <w:sz w:val="21"/>
              </w:rPr>
              <w:t>Performance Marketing</w:t>
            </w:r>
          </w:p>
        </w:tc>
      </w:tr>
      <w:tr>
        <w:tc>
          <w:tcPr>
            <w:tcW w:type="dxa" w:w="5400"/>
          </w:tcPr>
          <w:p>
            <w:pPr>
              <w:pStyle w:val="ListBullet"/>
              <w:spacing w:after="0" w:line="276" w:lineRule="auto"/>
            </w:pPr>
            <w:r/>
            <w:r>
              <w:rPr>
                <w:rFonts w:ascii="EB Garamond" w:hAnsi="EB Garamond"/>
                <w:sz w:val="21"/>
              </w:rPr>
              <w:t>Lead Generation</w:t>
            </w:r>
          </w:p>
        </w:tc>
        <w:tc>
          <w:tcPr>
            <w:tcW w:type="dxa" w:w="5400"/>
          </w:tcPr>
          <w:p>
            <w:pPr>
              <w:pStyle w:val="ListBullet"/>
              <w:spacing w:after="0" w:line="276" w:lineRule="auto"/>
            </w:pPr>
            <w:r/>
            <w:r>
              <w:rPr>
                <w:rFonts w:ascii="EB Garamond" w:hAnsi="EB Garamond"/>
                <w:sz w:val="21"/>
              </w:rPr>
              <w:t>Paid Media Strategy</w:t>
            </w:r>
          </w:p>
        </w:tc>
      </w:tr>
      <w:tr>
        <w:tc>
          <w:tcPr>
            <w:tcW w:type="dxa" w:w="5400"/>
          </w:tcPr>
          <w:p>
            <w:pPr>
              <w:pStyle w:val="ListBullet"/>
              <w:spacing w:after="0" w:line="276" w:lineRule="auto"/>
            </w:pPr>
            <w:r/>
            <w:r>
              <w:rPr>
                <w:rFonts w:ascii="EB Garamond" w:hAnsi="EB Garamond"/>
                <w:sz w:val="21"/>
              </w:rPr>
              <w:t>E-Commerce Strategy</w:t>
            </w:r>
          </w:p>
        </w:tc>
        <w:tc>
          <w:tcPr>
            <w:tcW w:type="dxa" w:w="5400"/>
          </w:tcPr>
          <w:p>
            <w:pPr>
              <w:pStyle w:val="ListBullet"/>
              <w:spacing w:after="0" w:line="276" w:lineRule="auto"/>
            </w:pPr>
            <w:r/>
            <w:r>
              <w:rPr>
                <w:rFonts w:ascii="EB Garamond" w:hAnsi="EB Garamond"/>
                <w:sz w:val="21"/>
              </w:rPr>
              <w:t>Conversion Rate Optimization</w:t>
            </w: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w:t>
            </w:r>
          </w:p>
        </w:tc>
        <w:tc>
          <w:tcPr>
            <w:tcW w:type="dxa" w:w="2592"/>
          </w:tcPr>
          <w:p>
            <w:r/>
          </w:p>
        </w:tc>
      </w:tr>
      <w:tr>
        <w:tc>
          <w:tcPr>
            <w:tcW w:type="dxa" w:w="8208"/>
          </w:tcPr>
          <w:p>
            <w:pPr>
              <w:keepNext/>
            </w:pPr>
            <w:r>
              <w:rPr>
                <w:b/>
              </w:rPr>
              <w:t>1-800 Contacts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p>
      <w:pPr>
        <w:pStyle w:val="ListBullet"/>
        <w:spacing w:before="0" w:after="20" w:line="276" w:lineRule="auto"/>
        <w:ind w:left="259"/>
        <w:jc w:val="left"/>
      </w:pPr>
      <w:r>
        <w:rPr>
          <w:rFonts w:ascii="EB Garamond" w:hAnsi="EB Garamond"/>
          <w:b w:val="0"/>
          <w:sz w:val="21"/>
        </w:rPr>
        <w:t>Built automated weekly reporting across 10+ channels using Python, Databricks, SQL, blended Excel data, and Funnel.io to improve accuracy and decision speed.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w:t>
            </w:r>
          </w:p>
        </w:tc>
        <w:tc>
          <w:tcPr>
            <w:tcW w:type="dxa" w:w="2592"/>
          </w:tcPr>
          <w:p>
            <w:r/>
          </w:p>
        </w:tc>
      </w:tr>
      <w:tr>
        <w:tc>
          <w:tcPr>
            <w:tcW w:type="dxa" w:w="8208"/>
          </w:tcPr>
          <w:p>
            <w:pPr>
              <w:keepNext/>
            </w:pPr>
            <w:r>
              <w:rPr>
                <w:b/>
              </w:rPr>
              <w:t>GRIP6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Built Looker Studio KPI reporting for multiple departments, improving transparency for inventory planning, engineering decisions based on reviews, management decisions, website development, email performance, and cross-platform budget management.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w:t>
            </w:r>
          </w:p>
        </w:tc>
        <w:tc>
          <w:tcPr>
            <w:tcW w:type="dxa" w:w="2592"/>
          </w:tcPr>
          <w:p>
            <w:r/>
          </w:p>
        </w:tc>
      </w:tr>
      <w:tr>
        <w:tc>
          <w:tcPr>
            <w:tcW w:type="dxa" w:w="8208"/>
          </w:tcPr>
          <w:p>
            <w:pPr>
              <w:keepNext/>
            </w:pPr>
            <w:r>
              <w:rPr>
                <w:b/>
              </w:rPr>
              <w:t>TravelPass Group / Reservation Counter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Automated SERP analysis with Python and used machine-learning models and the Google Ads API to support budgets, bids, ad copy, keyword decisions, and other optimizations.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w:t>
            </w:r>
          </w:p>
        </w:tc>
        <w:tc>
          <w:tcPr>
            <w:tcW w:type="dxa" w:w="2592"/>
          </w:tcPr>
          <w:p>
            <w:r/>
          </w:p>
        </w:tc>
      </w:tr>
      <w:tr>
        <w:tc>
          <w:tcPr>
            <w:tcW w:type="dxa" w:w="8208"/>
          </w:tcPr>
          <w:p>
            <w:pPr>
              <w:keepNext/>
            </w:pPr>
            <w:r>
              <w:rPr>
                <w:b/>
              </w:rPr>
              <w:t>Intercon Inc.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Oversaw project management in a fast-changing e-commerce channels while protecting relationships with more than 650 B2B retailers.</w:t>
      </w:r>
    </w:p>
    <w:p>
      <w:pPr>
        <w:pStyle w:val="ListBullet"/>
        <w:spacing w:before="0" w:after="20" w:line="276" w:lineRule="auto"/>
        <w:ind w:left="259"/>
        <w:jc w:val="left"/>
      </w:pPr>
      <w:r>
        <w:rPr>
          <w:rFonts w:ascii="EB Garamond" w:hAnsi="EB Garamond"/>
          <w:b w:val="0"/>
          <w:sz w:val="21"/>
        </w:rPr>
        <w:t>Helped modernize a traditional B2B distributor and add multiple B2C e-commerce channels while protecting relationships with 650+ existing retail partners.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w:t>
            </w:r>
          </w:p>
        </w:tc>
        <w:tc>
          <w:tcPr>
            <w:tcW w:type="dxa" w:w="2592"/>
          </w:tcPr>
          <w:p>
            <w:r/>
          </w:p>
        </w:tc>
      </w:tr>
      <w:tr>
        <w:tc>
          <w:tcPr>
            <w:tcW w:type="dxa" w:w="8208"/>
          </w:tcPr>
          <w:p>
            <w:pPr>
              <w:keepNext/>
            </w:pPr>
            <w:r>
              <w:rPr>
                <w:b/>
              </w:rPr>
              <w:t>The Infinite Agency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keepNext/>
        <w:spacing w:before="0" w:after="20" w:line="276" w:lineRule="auto"/>
        <w:ind w:left="259"/>
        <w:jc w:val="left"/>
      </w:pPr>
      <w:r>
        <w:rPr>
          <w:rFonts w:ascii="EB Garamond" w:hAnsi="EB Garamond"/>
          <w:b w:val="0"/>
          <w:sz w:val="21"/>
        </w:rPr>
        <w:t>Advised clients directly on business goals and how to allocate marketing funds across website development, SEO, email, paid search, display, mobile, remarketing, YouTube, and social media.</w:t>
      </w:r>
    </w:p>
    <w:p>
      <w:pPr>
        <w:pStyle w:val="ListBullet"/>
        <w:spacing w:before="0" w:after="20" w:line="276" w:lineRule="auto"/>
        <w:ind w:left="259"/>
        <w:jc w:val="left"/>
      </w:pPr>
      <w:r>
        <w:rPr>
          <w:rFonts w:ascii="EB Garamond" w:hAnsi="EB Garamond"/>
          <w:b w:val="0"/>
          <w:sz w:val="21"/>
        </w:rPr>
        <w:t>Used industry-leading analytical tools to study account performance and make data-driven recommendations.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w:t>
            </w:r>
          </w:p>
        </w:tc>
        <w:tc>
          <w:tcPr>
            <w:tcW w:type="dxa" w:w="2592"/>
          </w:tcPr>
          <w:p>
            <w:r/>
          </w:p>
        </w:tc>
      </w:tr>
      <w:tr>
        <w:tc>
          <w:tcPr>
            <w:tcW w:type="dxa" w:w="8208"/>
          </w:tcPr>
          <w:p>
            <w:pPr>
              <w:keepNext/>
            </w:pPr>
            <w:r>
              <w:rPr>
                <w:b/>
              </w:rPr>
              <w:t>LifeSpan Fitness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an eight-person e-commerce department and led paid search, outreach, lead generation, customer acquisition, website performance, and growth across the United States, Canada, and the United Kingdom.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w:t>
            </w:r>
          </w:p>
        </w:tc>
        <w:tc>
          <w:tcPr>
            <w:tcW w:type="dxa" w:w="2592"/>
          </w:tcPr>
          <w:p>
            <w:r/>
          </w:p>
        </w:tc>
      </w:tr>
      <w:tr>
        <w:tc>
          <w:tcPr>
            <w:tcW w:type="dxa" w:w="8208"/>
          </w:tcPr>
          <w:p>
            <w:pPr>
              <w:keepNext/>
            </w:pPr>
            <w:r>
              <w:rPr>
                <w:b/>
              </w:rPr>
              <w:t>Bowen Law Professional Group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Worked within a wealth-management/professional-services firm with more than 20 attorneys, financial planners, and CPAs. Worked directly with firm executives and with high-net-worth clients and owners of medium- to large-sized businesses across the country.</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ChatGPT • Codex • Claude • Gemini • Perplexity • Google Search Console • Google Ads API • Google Ads • Google Analytics 4 • Google Tag Manager • Google Ads Editor</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01-04-2004 to 06-26-2008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